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34A09" w14:textId="02E5F531" w:rsidR="00B8658A" w:rsidRDefault="00B8658A" w:rsidP="00B8658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_Ref462675860"/>
      <w:bookmarkStart w:id="2" w:name="_Ref465963108"/>
      <w:bookmarkEnd w:id="0"/>
      <w:r w:rsidRPr="00F542A0">
        <w:rPr>
          <w:rFonts w:cs="Arial"/>
          <w:sz w:val="24"/>
          <w:szCs w:val="24"/>
          <w:lang w:eastAsia="zh-CN"/>
        </w:rPr>
        <w:t>3GPP TSG-RAN WG4 Meeting #114</w:t>
      </w:r>
      <w:r w:rsidRPr="00F542A0">
        <w:rPr>
          <w:rFonts w:cs="Arial"/>
          <w:sz w:val="24"/>
          <w:szCs w:val="24"/>
          <w:lang w:eastAsia="zh-CN"/>
        </w:rPr>
        <w:tab/>
      </w:r>
      <w:r w:rsidR="00A51691" w:rsidRPr="00A51691">
        <w:rPr>
          <w:rFonts w:cs="Arial"/>
          <w:bCs/>
          <w:sz w:val="24"/>
          <w:szCs w:val="24"/>
          <w:lang w:eastAsia="zh-CN"/>
        </w:rPr>
        <w:t>R4-2501708</w:t>
      </w:r>
    </w:p>
    <w:p w14:paraId="615BF557" w14:textId="77777777" w:rsidR="00B8658A" w:rsidRPr="0052514D" w:rsidRDefault="00B8658A" w:rsidP="00B8658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F542A0">
        <w:rPr>
          <w:rFonts w:cs="Arial" w:hint="eastAsia"/>
          <w:sz w:val="24"/>
          <w:szCs w:val="24"/>
          <w:lang w:eastAsia="zh-CN"/>
        </w:rPr>
        <w:t>Athens</w:t>
      </w:r>
      <w:r w:rsidRPr="00F542A0">
        <w:rPr>
          <w:rFonts w:cs="Arial"/>
          <w:sz w:val="24"/>
          <w:szCs w:val="24"/>
          <w:lang w:eastAsia="zh-CN"/>
        </w:rPr>
        <w:t>, GR, 17</w:t>
      </w:r>
      <w:r w:rsidRPr="00F542A0">
        <w:rPr>
          <w:rFonts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cs="Arial"/>
          <w:sz w:val="24"/>
          <w:szCs w:val="24"/>
          <w:lang w:eastAsia="zh-CN"/>
        </w:rPr>
        <w:t xml:space="preserve"> – 21</w:t>
      </w:r>
      <w:r w:rsidRPr="00F542A0">
        <w:rPr>
          <w:rFonts w:cs="Arial"/>
          <w:sz w:val="24"/>
          <w:szCs w:val="24"/>
          <w:vertAlign w:val="superscript"/>
          <w:lang w:eastAsia="zh-CN"/>
        </w:rPr>
        <w:t>st</w:t>
      </w:r>
      <w:r w:rsidRPr="00F542A0">
        <w:rPr>
          <w:rFonts w:cs="Arial"/>
          <w:sz w:val="24"/>
          <w:szCs w:val="24"/>
          <w:lang w:eastAsia="zh-CN"/>
        </w:rPr>
        <w:t xml:space="preserve"> February, 2025</w:t>
      </w:r>
    </w:p>
    <w:p w14:paraId="791013D3" w14:textId="07D67D17" w:rsidR="00510EC7" w:rsidRPr="00B144E9" w:rsidRDefault="00510EC7" w:rsidP="00171359">
      <w:pPr>
        <w:rPr>
          <w:rFonts w:ascii="Arial" w:hAnsi="Arial" w:cs="Arial"/>
          <w:b/>
          <w:noProof/>
          <w:sz w:val="24"/>
          <w:szCs w:val="24"/>
        </w:rPr>
      </w:pPr>
    </w:p>
    <w:p w14:paraId="78D5754B" w14:textId="7C6F68F1" w:rsidR="00510EC7" w:rsidRPr="00785E35" w:rsidRDefault="00510EC7" w:rsidP="00510EC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3" w:name="Source"/>
      <w:bookmarkEnd w:id="3"/>
      <w:r w:rsidR="0040655A">
        <w:rPr>
          <w:rFonts w:ascii="Arial" w:hAnsi="Arial"/>
          <w:sz w:val="24"/>
        </w:rPr>
        <w:t>7</w:t>
      </w:r>
      <w:r>
        <w:rPr>
          <w:rFonts w:ascii="Arial" w:hAnsi="Arial"/>
          <w:sz w:val="24"/>
        </w:rPr>
        <w:t>.</w:t>
      </w:r>
      <w:r w:rsidR="00C82506">
        <w:rPr>
          <w:rFonts w:ascii="Arial" w:hAnsi="Arial"/>
          <w:sz w:val="24"/>
        </w:rPr>
        <w:t>2</w:t>
      </w:r>
      <w:r w:rsidR="009E4D3F">
        <w:rPr>
          <w:rFonts w:ascii="Arial" w:hAnsi="Arial"/>
          <w:sz w:val="24"/>
        </w:rPr>
        <w:t>3</w:t>
      </w:r>
      <w:r>
        <w:rPr>
          <w:rFonts w:ascii="Arial" w:hAnsi="Arial"/>
          <w:sz w:val="24"/>
        </w:rPr>
        <w:t>.</w:t>
      </w:r>
      <w:r w:rsidR="0094195C">
        <w:rPr>
          <w:rFonts w:ascii="Arial" w:hAnsi="Arial"/>
          <w:sz w:val="24"/>
        </w:rPr>
        <w:t>2.</w:t>
      </w:r>
      <w:r>
        <w:rPr>
          <w:rFonts w:ascii="Arial" w:hAnsi="Arial"/>
          <w:sz w:val="24"/>
        </w:rPr>
        <w:t>1</w:t>
      </w:r>
    </w:p>
    <w:p w14:paraId="3001B0F6" w14:textId="77777777" w:rsidR="00510EC7" w:rsidRPr="00785E35" w:rsidRDefault="00510EC7" w:rsidP="00510EC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>Qualcomm Incorporated</w:t>
      </w:r>
    </w:p>
    <w:p w14:paraId="4BEEAACD" w14:textId="19C42365" w:rsidR="00510EC7" w:rsidRPr="00785E35" w:rsidRDefault="00510EC7" w:rsidP="00510EC7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>
        <w:rPr>
          <w:rFonts w:ascii="Arial" w:hAnsi="Arial"/>
          <w:sz w:val="24"/>
        </w:rPr>
        <w:t>Views on new requirements for SBFD</w:t>
      </w:r>
    </w:p>
    <w:p w14:paraId="1E1B67B8" w14:textId="77777777" w:rsidR="00510EC7" w:rsidRPr="00785E35" w:rsidRDefault="00510EC7" w:rsidP="00510EC7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 xml:space="preserve">Approval </w:t>
      </w:r>
    </w:p>
    <w:p w14:paraId="57A32C14" w14:textId="77777777" w:rsidR="00A37CEF" w:rsidRPr="00785E35" w:rsidRDefault="00A37CEF" w:rsidP="002A0877">
      <w:pPr>
        <w:pStyle w:val="Heading1"/>
        <w:jc w:val="both"/>
      </w:pPr>
      <w:r w:rsidRPr="00785E35">
        <w:t>Introduction</w:t>
      </w:r>
      <w:bookmarkEnd w:id="1"/>
      <w:bookmarkEnd w:id="2"/>
    </w:p>
    <w:p w14:paraId="16D1D869" w14:textId="400BAE13" w:rsidR="00A37CEF" w:rsidRPr="005C6CB9" w:rsidRDefault="00A37CEF" w:rsidP="002A0877">
      <w:pPr>
        <w:spacing w:after="120" w:line="259" w:lineRule="auto"/>
        <w:ind w:right="-101"/>
        <w:jc w:val="both"/>
        <w:rPr>
          <w:rFonts w:eastAsia="Malgun Gothic"/>
          <w:lang w:val="en-CA" w:eastAsia="ko-KR"/>
        </w:rPr>
      </w:pPr>
      <w:r>
        <w:t xml:space="preserve">In </w:t>
      </w:r>
      <w:r w:rsidRPr="00785E35">
        <w:t>RAN#</w:t>
      </w:r>
      <w:r>
        <w:t>102</w:t>
      </w:r>
      <w:r w:rsidRPr="00785E35">
        <w:t xml:space="preserve">, the </w:t>
      </w:r>
      <w:r>
        <w:t>work</w:t>
      </w:r>
      <w:r w:rsidRPr="00785E35">
        <w:t xml:space="preserve"> item on </w:t>
      </w:r>
      <w:r>
        <w:t>e</w:t>
      </w:r>
      <w:r w:rsidRPr="00EB0730">
        <w:t>volution of NR duplex operation</w:t>
      </w:r>
      <w:r w:rsidR="009534D5">
        <w:t xml:space="preserve"> </w:t>
      </w:r>
      <w:r w:rsidRPr="00E95917">
        <w:t>was approved</w:t>
      </w:r>
      <w:r w:rsidRPr="00785E35">
        <w:t xml:space="preserve"> </w:t>
      </w:r>
      <w:r w:rsidRPr="00785E35">
        <w:fldChar w:fldCharType="begin"/>
      </w:r>
      <w:r w:rsidRPr="00785E35">
        <w:instrText xml:space="preserve"> REF _Ref47616084 \n \h </w:instrText>
      </w:r>
      <w:r>
        <w:instrText xml:space="preserve"> \* MERGEFORMAT </w:instrText>
      </w:r>
      <w:r w:rsidRPr="00785E35">
        <w:fldChar w:fldCharType="separate"/>
      </w:r>
      <w:r>
        <w:t>[1]</w:t>
      </w:r>
      <w:r w:rsidRPr="00785E35">
        <w:fldChar w:fldCharType="end"/>
      </w:r>
      <w:r w:rsidRPr="00785E35">
        <w:t>.</w:t>
      </w:r>
      <w:r>
        <w:t xml:space="preserve"> </w:t>
      </w:r>
      <w:r w:rsidR="00F44EF7">
        <w:t xml:space="preserve">From RAN4 </w:t>
      </w:r>
      <w:r w:rsidR="0023172D">
        <w:t xml:space="preserve">RF </w:t>
      </w:r>
      <w:r w:rsidR="00F44EF7">
        <w:t>perspective, t</w:t>
      </w:r>
      <w:r w:rsidRPr="00177BCB">
        <w:t xml:space="preserve">he objective of </w:t>
      </w:r>
      <w:r>
        <w:t xml:space="preserve">the work item is </w:t>
      </w:r>
      <w:r w:rsidR="00E8553E">
        <w:t>as follows: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37CEF" w14:paraId="110D1ACE" w14:textId="77777777" w:rsidTr="00255BB3">
        <w:tc>
          <w:tcPr>
            <w:tcW w:w="9962" w:type="dxa"/>
          </w:tcPr>
          <w:p w14:paraId="0B67DFFB" w14:textId="77777777" w:rsidR="00A37CEF" w:rsidRDefault="00A37CEF" w:rsidP="002A0877">
            <w:pPr>
              <w:spacing w:after="0"/>
              <w:ind w:right="-99"/>
              <w:rPr>
                <w:bCs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 xml:space="preserve">The objectives are as </w:t>
            </w:r>
            <w:r>
              <w:rPr>
                <w:bCs/>
                <w:lang w:eastAsia="ko-KR"/>
              </w:rPr>
              <w:t>follows</w:t>
            </w:r>
            <w:r>
              <w:rPr>
                <w:rFonts w:hint="eastAsia"/>
                <w:bCs/>
                <w:lang w:eastAsia="ko-KR"/>
              </w:rPr>
              <w:t>:</w:t>
            </w:r>
          </w:p>
          <w:p w14:paraId="2EFF3E7D" w14:textId="5B49ACDB" w:rsidR="00A37CEF" w:rsidRPr="0023172D" w:rsidRDefault="00E8553E" w:rsidP="0023172D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Specify BS RF requirements for SBFD operation at gNB [RAN4]</w:t>
            </w:r>
          </w:p>
        </w:tc>
      </w:tr>
    </w:tbl>
    <w:p w14:paraId="3EC9F8B3" w14:textId="77777777" w:rsidR="00A37CEF" w:rsidRPr="00785E35" w:rsidRDefault="00A37CEF" w:rsidP="002A0877">
      <w:pPr>
        <w:jc w:val="both"/>
      </w:pPr>
    </w:p>
    <w:p w14:paraId="6556B6C7" w14:textId="27D4817C" w:rsidR="00A37CEF" w:rsidRDefault="0023172D" w:rsidP="002A0877">
      <w:pPr>
        <w:jc w:val="both"/>
      </w:pPr>
      <w:r>
        <w:t>In RAN4#11</w:t>
      </w:r>
      <w:r w:rsidR="00124C37">
        <w:t>3</w:t>
      </w:r>
      <w:r>
        <w:t xml:space="preserve">, a WF was agreed in [2]. </w:t>
      </w:r>
      <w:r w:rsidR="00A37CEF">
        <w:t xml:space="preserve">In this contribution we </w:t>
      </w:r>
      <w:r w:rsidR="00EB7153">
        <w:t xml:space="preserve">share our views on </w:t>
      </w:r>
      <w:r w:rsidR="002E21FA">
        <w:t xml:space="preserve">existing BS RF requirements </w:t>
      </w:r>
      <w:r w:rsidR="00EF49CD">
        <w:t xml:space="preserve">for Rel-19 SBFD. </w:t>
      </w:r>
    </w:p>
    <w:p w14:paraId="4228B7A0" w14:textId="220B932A" w:rsidR="00275BBE" w:rsidRPr="0031380B" w:rsidRDefault="00EF476A" w:rsidP="0031380B">
      <w:pPr>
        <w:pStyle w:val="Heading1"/>
      </w:pPr>
      <w:r>
        <w:t>New</w:t>
      </w:r>
      <w:r w:rsidR="00540B8E">
        <w:t xml:space="preserve"> </w:t>
      </w:r>
      <w:r w:rsidR="001F7C18">
        <w:t xml:space="preserve">BS </w:t>
      </w:r>
      <w:r w:rsidR="00275C28">
        <w:t>RF requirements</w:t>
      </w:r>
      <w:r>
        <w:t xml:space="preserve"> for SBFD operation </w:t>
      </w:r>
      <w:r w:rsidR="00D81C2B" w:rsidRPr="00E60F3D">
        <w:rPr>
          <w:b/>
          <w:bCs/>
        </w:rPr>
        <w:t xml:space="preserve"> </w:t>
      </w:r>
      <w:r w:rsidR="00676CAA" w:rsidRPr="00E60F3D">
        <w:rPr>
          <w:b/>
          <w:bCs/>
        </w:rPr>
        <w:t xml:space="preserve"> </w:t>
      </w:r>
    </w:p>
    <w:p w14:paraId="1B48B570" w14:textId="1DAB8F3D" w:rsidR="006141CE" w:rsidRDefault="0031380B" w:rsidP="00275BBE">
      <w:pPr>
        <w:rPr>
          <w:lang w:val="en-GB"/>
        </w:rPr>
      </w:pPr>
      <w:r>
        <w:rPr>
          <w:lang w:val="en-GB"/>
        </w:rPr>
        <w:t>I</w:t>
      </w:r>
      <w:r w:rsidR="006141CE">
        <w:rPr>
          <w:lang w:val="en-GB"/>
        </w:rPr>
        <w:t>n [2], the following was agreed regarding the potentially new in-channel adjacent subband leakage ratio</w:t>
      </w:r>
      <w:r w:rsidR="00465296">
        <w:rPr>
          <w:lang w:val="en-GB"/>
        </w:rPr>
        <w:t xml:space="preserve"> </w:t>
      </w:r>
      <w:r w:rsidR="00555FEC">
        <w:rPr>
          <w:lang w:val="en-GB"/>
        </w:rPr>
        <w:t>and in-channel adjacent subband blocking requirements</w:t>
      </w:r>
      <w:r w:rsidR="006141CE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141CE" w:rsidRPr="007311B6" w14:paraId="7867AE7C" w14:textId="77777777" w:rsidTr="006141CE">
        <w:tc>
          <w:tcPr>
            <w:tcW w:w="9962" w:type="dxa"/>
          </w:tcPr>
          <w:p w14:paraId="4097796E" w14:textId="77777777" w:rsidR="003D175F" w:rsidRPr="003D175F" w:rsidRDefault="003D175F" w:rsidP="003D175F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120" w:line="259" w:lineRule="auto"/>
              <w:ind w:left="936"/>
              <w:textAlignment w:val="auto"/>
              <w:rPr>
                <w:rFonts w:eastAsia="DengXian"/>
              </w:rPr>
            </w:pPr>
            <w:r w:rsidRPr="003D175F">
              <w:rPr>
                <w:rFonts w:eastAsia="DengXian"/>
              </w:rPr>
              <w:t>New requirement for in-channel adjacent subband leakage ratio should be defined</w:t>
            </w:r>
          </w:p>
          <w:p w14:paraId="0E1A3D64" w14:textId="77777777" w:rsidR="003D175F" w:rsidRPr="003D175F" w:rsidRDefault="003D175F" w:rsidP="003D175F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120" w:line="259" w:lineRule="auto"/>
              <w:ind w:left="1656"/>
              <w:textAlignment w:val="auto"/>
              <w:rPr>
                <w:rFonts w:eastAsia="DengXian"/>
              </w:rPr>
            </w:pPr>
            <w:r w:rsidRPr="003D175F">
              <w:rPr>
                <w:rFonts w:eastAsia="DengXian"/>
              </w:rPr>
              <w:t>FFS whether the requirement can be defined similar to the ACLR requirement and use existing ACLR requirement as baseline.</w:t>
            </w:r>
          </w:p>
          <w:p w14:paraId="117C9FB8" w14:textId="77777777" w:rsidR="00465296" w:rsidRPr="00465296" w:rsidRDefault="00465296" w:rsidP="00465296">
            <w:pPr>
              <w:pStyle w:val="ListParagraph"/>
              <w:numPr>
                <w:ilvl w:val="0"/>
                <w:numId w:val="30"/>
              </w:numPr>
              <w:spacing w:after="120" w:line="259" w:lineRule="auto"/>
              <w:ind w:left="936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65296">
              <w:rPr>
                <w:rFonts w:ascii="Times New Roman" w:eastAsiaTheme="minorEastAsia" w:hAnsi="Times New Roman"/>
                <w:sz w:val="20"/>
                <w:szCs w:val="20"/>
              </w:rPr>
              <w:t>New requirement for in-channel adjacent subband blocking should be defined</w:t>
            </w:r>
          </w:p>
          <w:p w14:paraId="75081AC6" w14:textId="77777777" w:rsidR="00465296" w:rsidRPr="00465296" w:rsidRDefault="00465296" w:rsidP="00465296">
            <w:pPr>
              <w:pStyle w:val="ListParagraph"/>
              <w:numPr>
                <w:ilvl w:val="1"/>
                <w:numId w:val="30"/>
              </w:numPr>
              <w:spacing w:after="120" w:line="259" w:lineRule="auto"/>
              <w:ind w:left="1656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65296">
              <w:rPr>
                <w:rFonts w:ascii="Times New Roman" w:eastAsiaTheme="minorEastAsia" w:hAnsi="Times New Roman"/>
                <w:sz w:val="20"/>
                <w:szCs w:val="20"/>
              </w:rPr>
              <w:t xml:space="preserve">FFS the impact of in-channel interference source(s), with and without gNB-to-gNB CLI handling schemes, based on reasonable expected gNB-to-gNB isolation. </w:t>
            </w:r>
          </w:p>
          <w:p w14:paraId="52F82254" w14:textId="77777777" w:rsidR="00465296" w:rsidRPr="00465296" w:rsidRDefault="00465296" w:rsidP="00465296">
            <w:pPr>
              <w:pStyle w:val="ListParagraph"/>
              <w:numPr>
                <w:ilvl w:val="1"/>
                <w:numId w:val="30"/>
              </w:numPr>
              <w:spacing w:after="120" w:line="259" w:lineRule="auto"/>
              <w:ind w:left="1656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465296">
              <w:rPr>
                <w:rFonts w:ascii="Times New Roman" w:eastAsiaTheme="minorEastAsia" w:hAnsi="Times New Roman"/>
                <w:sz w:val="20"/>
                <w:szCs w:val="20"/>
              </w:rPr>
              <w:t xml:space="preserve">FFS in-channel selectivity (ICS) requirement can cover in-channel adjacent subband blocking requirement.  </w:t>
            </w:r>
          </w:p>
          <w:p w14:paraId="566B9609" w14:textId="765DA9FA" w:rsidR="000D1A15" w:rsidRPr="00465296" w:rsidRDefault="00465296" w:rsidP="003D175F">
            <w:pPr>
              <w:pStyle w:val="ListParagraph"/>
              <w:numPr>
                <w:ilvl w:val="1"/>
                <w:numId w:val="30"/>
              </w:numPr>
              <w:spacing w:after="120" w:line="259" w:lineRule="auto"/>
              <w:ind w:left="1656"/>
              <w:rPr>
                <w:rFonts w:eastAsiaTheme="minorEastAsia"/>
              </w:rPr>
            </w:pPr>
            <w:r w:rsidRPr="00465296">
              <w:rPr>
                <w:rFonts w:ascii="Times New Roman" w:eastAsiaTheme="minorEastAsia" w:hAnsi="Times New Roman"/>
                <w:sz w:val="20"/>
                <w:szCs w:val="20"/>
              </w:rPr>
              <w:t>The requirement level shall be driven by feasibility consideration.</w:t>
            </w:r>
            <w:r w:rsidRPr="00E1077A">
              <w:rPr>
                <w:rFonts w:eastAsiaTheme="minorEastAsia"/>
              </w:rPr>
              <w:t xml:space="preserve"> </w:t>
            </w:r>
          </w:p>
        </w:tc>
      </w:tr>
    </w:tbl>
    <w:p w14:paraId="3B0ECFC5" w14:textId="77777777" w:rsidR="00376565" w:rsidRDefault="00376565" w:rsidP="00275BBE">
      <w:pPr>
        <w:rPr>
          <w:lang w:val="en-GB"/>
        </w:rPr>
      </w:pPr>
    </w:p>
    <w:p w14:paraId="2877FC9A" w14:textId="357094F2" w:rsidR="00CC1FEB" w:rsidRDefault="00CC1FEB" w:rsidP="00275BBE">
      <w:pPr>
        <w:rPr>
          <w:lang w:val="en-GB"/>
        </w:rPr>
      </w:pPr>
      <w:r>
        <w:rPr>
          <w:lang w:val="en-GB"/>
        </w:rPr>
        <w:t xml:space="preserve">All the </w:t>
      </w:r>
      <w:r w:rsidR="009003C9">
        <w:rPr>
          <w:lang w:val="en-GB"/>
        </w:rPr>
        <w:t>above-mentioned</w:t>
      </w:r>
      <w:r>
        <w:rPr>
          <w:lang w:val="en-GB"/>
        </w:rPr>
        <w:t xml:space="preserve"> new requirements </w:t>
      </w:r>
      <w:r w:rsidR="004B1F7C">
        <w:rPr>
          <w:lang w:val="en-GB"/>
        </w:rPr>
        <w:t>are related to the</w:t>
      </w:r>
      <w:r>
        <w:rPr>
          <w:lang w:val="en-GB"/>
        </w:rPr>
        <w:t xml:space="preserve"> in-band</w:t>
      </w:r>
      <w:r w:rsidR="004B1F7C">
        <w:rPr>
          <w:lang w:val="en-GB"/>
        </w:rPr>
        <w:t xml:space="preserve"> operation</w:t>
      </w:r>
      <w:r>
        <w:rPr>
          <w:lang w:val="en-GB"/>
        </w:rPr>
        <w:t>, i.e., intra-operator</w:t>
      </w:r>
      <w:r w:rsidR="004B1F7C">
        <w:rPr>
          <w:lang w:val="en-GB"/>
        </w:rPr>
        <w:t xml:space="preserve">, and are different than existing ACLR/ ACS/ blocking requirements, which are aimed to ensure feasible deployment of inter-operator adjacent operation. Historically, RAN4 did not specify any in-band emissions </w:t>
      </w:r>
      <w:r w:rsidR="008A5ED0">
        <w:rPr>
          <w:lang w:val="en-GB"/>
        </w:rPr>
        <w:t>for legacy TDD BS</w:t>
      </w:r>
      <w:r w:rsidR="00745012">
        <w:rPr>
          <w:lang w:val="en-GB"/>
        </w:rPr>
        <w:t xml:space="preserve">, since </w:t>
      </w:r>
      <w:r w:rsidR="009003C9">
        <w:rPr>
          <w:lang w:val="en-GB"/>
        </w:rPr>
        <w:t xml:space="preserve">it is implementation dependent and can be addressed via proprietary solutions. </w:t>
      </w:r>
    </w:p>
    <w:p w14:paraId="00982056" w14:textId="620313FD" w:rsidR="009003C9" w:rsidRPr="009003C9" w:rsidRDefault="009003C9" w:rsidP="00275BBE">
      <w:pPr>
        <w:rPr>
          <w:b/>
          <w:bCs/>
          <w:lang w:val="en-GB"/>
        </w:rPr>
      </w:pPr>
      <w:r w:rsidRPr="009003C9">
        <w:rPr>
          <w:b/>
          <w:bCs/>
          <w:u w:val="single"/>
          <w:lang w:val="en-GB"/>
        </w:rPr>
        <w:t>Obse</w:t>
      </w:r>
      <w:r>
        <w:rPr>
          <w:b/>
          <w:bCs/>
          <w:u w:val="single"/>
          <w:lang w:val="en-GB"/>
        </w:rPr>
        <w:t>r</w:t>
      </w:r>
      <w:r w:rsidRPr="009003C9">
        <w:rPr>
          <w:b/>
          <w:bCs/>
          <w:u w:val="single"/>
          <w:lang w:val="en-GB"/>
        </w:rPr>
        <w:t>vation 1</w:t>
      </w:r>
      <w:r w:rsidRPr="009003C9">
        <w:rPr>
          <w:b/>
          <w:bCs/>
          <w:lang w:val="en-GB"/>
        </w:rPr>
        <w:t xml:space="preserve">: RAN4 has not specified before in-band emission requirements for legacy TDD BSs as it is implementation dependent and different solutions might vary </w:t>
      </w:r>
      <w:r w:rsidR="00A64609">
        <w:rPr>
          <w:b/>
          <w:bCs/>
          <w:lang w:val="en-GB"/>
        </w:rPr>
        <w:t>among</w:t>
      </w:r>
      <w:r w:rsidRPr="009003C9">
        <w:rPr>
          <w:b/>
          <w:bCs/>
          <w:lang w:val="en-GB"/>
        </w:rPr>
        <w:t xml:space="preserve"> vendors. </w:t>
      </w:r>
    </w:p>
    <w:p w14:paraId="597CE497" w14:textId="77777777" w:rsidR="007D63E0" w:rsidRDefault="0034473B" w:rsidP="00275BBE">
      <w:pPr>
        <w:rPr>
          <w:lang w:val="en-GB"/>
        </w:rPr>
      </w:pPr>
      <w:r w:rsidRPr="00907F3F">
        <w:rPr>
          <w:lang w:val="en-GB"/>
        </w:rPr>
        <w:lastRenderedPageBreak/>
        <w:t xml:space="preserve">Additionally, </w:t>
      </w:r>
      <w:r>
        <w:rPr>
          <w:lang w:val="en-GB"/>
        </w:rPr>
        <w:t xml:space="preserve">during the study item phase, </w:t>
      </w:r>
      <w:r w:rsidR="007D63E0">
        <w:rPr>
          <w:lang w:val="en-GB"/>
        </w:rPr>
        <w:t xml:space="preserve">legacy ACLR and ACS was assumed for inter-channel leakage and inter-channel selectivity, this was mainly assumed to progress the work on the coexistence between legacy TDD and new SBFD deployments for the different simulation scenarios. </w:t>
      </w:r>
    </w:p>
    <w:p w14:paraId="51E54DAB" w14:textId="572E20E9" w:rsidR="007D63E0" w:rsidRDefault="007C255B" w:rsidP="00275BBE">
      <w:pPr>
        <w:rPr>
          <w:b/>
          <w:bCs/>
          <w:lang w:val="en-GB"/>
        </w:rPr>
      </w:pPr>
      <w:r w:rsidRPr="00791D7E">
        <w:rPr>
          <w:b/>
          <w:bCs/>
          <w:u w:val="single"/>
          <w:lang w:val="en-GB"/>
        </w:rPr>
        <w:t>Observation 2</w:t>
      </w:r>
      <w:r w:rsidRPr="00791D7E">
        <w:rPr>
          <w:b/>
          <w:bCs/>
          <w:lang w:val="en-GB"/>
        </w:rPr>
        <w:t xml:space="preserve">: During study phase, RAN4 agreed to adopt legacy ACLR and ACS values for </w:t>
      </w:r>
      <w:r w:rsidR="00791D7E" w:rsidRPr="00791D7E">
        <w:rPr>
          <w:b/>
          <w:bCs/>
          <w:lang w:val="en-GB"/>
        </w:rPr>
        <w:t xml:space="preserve">in-channel adjacent subband leakage and in-channel adjacent subband selectivity. </w:t>
      </w:r>
    </w:p>
    <w:p w14:paraId="0D5B1220" w14:textId="4153A94A" w:rsidR="00A03F90" w:rsidRPr="00A03F90" w:rsidRDefault="00A03F90" w:rsidP="00275BBE">
      <w:pPr>
        <w:rPr>
          <w:lang w:val="en-GB"/>
        </w:rPr>
      </w:pPr>
      <w:r>
        <w:rPr>
          <w:lang w:val="en-GB"/>
        </w:rPr>
        <w:t xml:space="preserve">In our views, it is a viable way forward to follow what was done in the </w:t>
      </w:r>
      <w:r w:rsidR="00BD49BF">
        <w:rPr>
          <w:lang w:val="en-GB"/>
        </w:rPr>
        <w:t xml:space="preserve">study item as a baseline and further agree on methodologies that could be agreed within RAN4 to confirm the feasibility of </w:t>
      </w:r>
      <w:r w:rsidR="004C497B">
        <w:rPr>
          <w:lang w:val="en-GB"/>
        </w:rPr>
        <w:t>such way forward. One challenge for the in-channel new requirements is the dependency on the self-interference capability yields the definition of a new inter-subband requirement difficult to agree between different companies. As observed in Section 9 in TR 38.853, different implementations can be assumed among vendors, leading to different self-interference, co-sector interference, and inter-site interference mitigation capabilities. Moreover, employed technologies and mitigation techniques in the SBFD-capable gNB vary within RAN4, and thus, room for implementation differences should be considered when defining the new inter-subband leakage and blocking requirements.</w:t>
      </w:r>
    </w:p>
    <w:p w14:paraId="783F33AD" w14:textId="7F3C231B" w:rsidR="00275BBE" w:rsidRDefault="00275BBE" w:rsidP="00275BBE">
      <w:pPr>
        <w:rPr>
          <w:b/>
          <w:bCs/>
          <w:lang w:val="en-GB"/>
        </w:rPr>
      </w:pPr>
      <w:r w:rsidRPr="0099526C">
        <w:rPr>
          <w:b/>
          <w:bCs/>
          <w:u w:val="single"/>
          <w:lang w:val="en-GB"/>
        </w:rPr>
        <w:t xml:space="preserve">Observation </w:t>
      </w:r>
      <w:r w:rsidR="00806877">
        <w:rPr>
          <w:b/>
          <w:bCs/>
          <w:u w:val="single"/>
          <w:lang w:val="en-GB"/>
        </w:rPr>
        <w:t>3</w:t>
      </w:r>
      <w:r w:rsidRPr="002C31C6">
        <w:rPr>
          <w:b/>
          <w:bCs/>
          <w:lang w:val="en-GB"/>
        </w:rPr>
        <w:t>: The in-channel subband sub-band Tx leakage</w:t>
      </w:r>
      <w:r w:rsidR="0034473B">
        <w:rPr>
          <w:b/>
          <w:bCs/>
          <w:lang w:val="en-GB"/>
        </w:rPr>
        <w:t xml:space="preserve"> and blocking</w:t>
      </w:r>
      <w:r w:rsidRPr="002C31C6">
        <w:rPr>
          <w:b/>
          <w:bCs/>
          <w:lang w:val="en-GB"/>
        </w:rPr>
        <w:t xml:space="preserve"> depend on the self-interference, inter-site and inter-sector interference </w:t>
      </w:r>
      <w:r w:rsidR="00B93E24" w:rsidRPr="002C31C6">
        <w:rPr>
          <w:b/>
          <w:bCs/>
          <w:lang w:val="en-GB"/>
        </w:rPr>
        <w:t>considerations</w:t>
      </w:r>
      <w:r w:rsidR="00B93E24">
        <w:rPr>
          <w:b/>
          <w:bCs/>
          <w:lang w:val="en-GB"/>
        </w:rPr>
        <w:t>;</w:t>
      </w:r>
      <w:r w:rsidR="0034473B">
        <w:rPr>
          <w:b/>
          <w:bCs/>
          <w:lang w:val="en-GB"/>
        </w:rPr>
        <w:t xml:space="preserve"> thus, they are implementation dependent. </w:t>
      </w:r>
    </w:p>
    <w:p w14:paraId="6181D53E" w14:textId="265633C4" w:rsidR="004F281F" w:rsidRDefault="00477361" w:rsidP="00275BBE">
      <w:pPr>
        <w:rPr>
          <w:b/>
          <w:bCs/>
          <w:lang w:val="en-GB"/>
        </w:rPr>
      </w:pPr>
      <w:r w:rsidRPr="00477361">
        <w:rPr>
          <w:b/>
          <w:bCs/>
          <w:u w:val="single"/>
          <w:lang w:val="en-GB"/>
        </w:rPr>
        <w:t>Proposal 1</w:t>
      </w:r>
      <w:r w:rsidRPr="00477361">
        <w:rPr>
          <w:b/>
          <w:bCs/>
          <w:lang w:val="en-GB"/>
        </w:rPr>
        <w:t xml:space="preserve">: RAN4 to agree </w:t>
      </w:r>
      <w:r w:rsidR="00B93E24">
        <w:rPr>
          <w:b/>
          <w:bCs/>
          <w:lang w:val="en-GB"/>
        </w:rPr>
        <w:t xml:space="preserve">as a starting point on reusing legacy ACLR </w:t>
      </w:r>
      <w:r w:rsidR="00693E11">
        <w:rPr>
          <w:b/>
          <w:bCs/>
          <w:lang w:val="en-GB"/>
        </w:rPr>
        <w:t xml:space="preserve">for the new in-channel adjacent subband leakage and further discuss a methodology to confirm its feasibility. </w:t>
      </w:r>
      <w:r w:rsidRPr="00477361">
        <w:rPr>
          <w:b/>
          <w:bCs/>
          <w:lang w:val="en-GB"/>
        </w:rPr>
        <w:t xml:space="preserve"> </w:t>
      </w:r>
    </w:p>
    <w:p w14:paraId="00EA5BCD" w14:textId="061D490F" w:rsidR="008950C0" w:rsidRDefault="00844D7A" w:rsidP="00275BBE">
      <w:pPr>
        <w:rPr>
          <w:lang w:val="en-GB"/>
        </w:rPr>
      </w:pPr>
      <w:r>
        <w:rPr>
          <w:lang w:val="en-GB"/>
        </w:rPr>
        <w:t>One of the main differences between the adjacent blocking requirement that are being discussed for SBFD-capable gNB and the in-</w:t>
      </w:r>
      <w:r w:rsidR="00C46B94">
        <w:rPr>
          <w:lang w:val="en-GB"/>
        </w:rPr>
        <w:t xml:space="preserve">channel adjacent subband blocking is the impact of the inter-gNB CLI mitigation/ handling techniques. Since in-channel emissions are being investigated, CLI handling techniques are </w:t>
      </w:r>
      <w:r w:rsidR="00283960">
        <w:rPr>
          <w:lang w:val="en-GB"/>
        </w:rPr>
        <w:t>a cornerstone of enabling intra-operator deployment of SBFD, as they offer solutions to mitigate intra-operator inter-gNB CLI. Accordingly, it is recommended that RAN4 consider the impact of the</w:t>
      </w:r>
      <w:r w:rsidR="008950C0">
        <w:rPr>
          <w:lang w:val="en-GB"/>
        </w:rPr>
        <w:t xml:space="preserve"> CLI handling schemes when analysing feasible in-channel adjacent subband blocking requirement. </w:t>
      </w:r>
    </w:p>
    <w:p w14:paraId="093B5E16" w14:textId="1A9070A7" w:rsidR="008950C0" w:rsidRPr="00844D7A" w:rsidRDefault="008950C0" w:rsidP="00275BBE">
      <w:pPr>
        <w:rPr>
          <w:lang w:val="en-GB"/>
        </w:rPr>
      </w:pPr>
      <w:r w:rsidRPr="00477361">
        <w:rPr>
          <w:b/>
          <w:bCs/>
          <w:u w:val="single"/>
          <w:lang w:val="en-GB"/>
        </w:rPr>
        <w:t xml:space="preserve">Proposal </w:t>
      </w:r>
      <w:r>
        <w:rPr>
          <w:b/>
          <w:bCs/>
          <w:u w:val="single"/>
          <w:lang w:val="en-GB"/>
        </w:rPr>
        <w:t>2</w:t>
      </w:r>
      <w:r w:rsidRPr="00477361">
        <w:rPr>
          <w:b/>
          <w:bCs/>
          <w:lang w:val="en-GB"/>
        </w:rPr>
        <w:t xml:space="preserve">: RAN4 </w:t>
      </w:r>
      <w:r>
        <w:rPr>
          <w:b/>
          <w:bCs/>
          <w:lang w:val="en-GB"/>
        </w:rPr>
        <w:t xml:space="preserve">consider the impact of inter-CLI </w:t>
      </w:r>
      <w:r w:rsidR="000E57BA">
        <w:rPr>
          <w:b/>
          <w:bCs/>
          <w:lang w:val="en-GB"/>
        </w:rPr>
        <w:t xml:space="preserve">handling schemes when analysing </w:t>
      </w:r>
      <w:r w:rsidR="000E57BA" w:rsidRPr="000E57BA">
        <w:rPr>
          <w:b/>
          <w:bCs/>
          <w:lang w:val="en-GB"/>
        </w:rPr>
        <w:t>feasible in-channel adjacent subband blocking requirement.</w:t>
      </w:r>
      <w:r w:rsidR="000E57BA">
        <w:rPr>
          <w:lang w:val="en-GB"/>
        </w:rPr>
        <w:t xml:space="preserve"> </w:t>
      </w:r>
    </w:p>
    <w:p w14:paraId="46DCD988" w14:textId="77777777" w:rsidR="00A37CEF" w:rsidRDefault="00A37CEF" w:rsidP="002A0877">
      <w:pPr>
        <w:pStyle w:val="Heading1"/>
        <w:jc w:val="both"/>
      </w:pPr>
      <w:r>
        <w:t>Conclusion</w:t>
      </w:r>
    </w:p>
    <w:p w14:paraId="21920010" w14:textId="05FD8DAF" w:rsidR="00A37CEF" w:rsidRDefault="00A37CEF" w:rsidP="002A0877">
      <w:pPr>
        <w:jc w:val="both"/>
      </w:pPr>
      <w:r w:rsidRPr="00A562B7">
        <w:t>In</w:t>
      </w:r>
      <w:r>
        <w:t xml:space="preserve"> </w:t>
      </w:r>
      <w:r w:rsidRPr="00A562B7">
        <w:t>this</w:t>
      </w:r>
      <w:r>
        <w:t xml:space="preserve"> </w:t>
      </w:r>
      <w:r w:rsidRPr="00A562B7">
        <w:t>contribution,</w:t>
      </w:r>
      <w:r>
        <w:t xml:space="preserve"> </w:t>
      </w:r>
      <w:r w:rsidRPr="00A562B7">
        <w:t>we</w:t>
      </w:r>
      <w:r>
        <w:t xml:space="preserve"> </w:t>
      </w:r>
      <w:r w:rsidRPr="00A562B7">
        <w:t>provid</w:t>
      </w:r>
      <w:r>
        <w:t xml:space="preserve">ed our views on </w:t>
      </w:r>
      <w:r w:rsidR="000E57BA">
        <w:t xml:space="preserve">new </w:t>
      </w:r>
      <w:r w:rsidR="00CE7110">
        <w:t xml:space="preserve">BS RF </w:t>
      </w:r>
      <w:r w:rsidR="004F2C94">
        <w:t>require</w:t>
      </w:r>
      <w:r w:rsidR="00CE7110">
        <w:t xml:space="preserve">ments for SBFD </w:t>
      </w:r>
      <w:r w:rsidRPr="00A562B7">
        <w:t>with</w:t>
      </w:r>
      <w:r>
        <w:t xml:space="preserve"> the </w:t>
      </w:r>
      <w:r w:rsidRPr="00A562B7">
        <w:t>following</w:t>
      </w:r>
      <w:r>
        <w:t xml:space="preserve"> observations and </w:t>
      </w:r>
      <w:r w:rsidRPr="00A562B7">
        <w:t>proposals:</w:t>
      </w:r>
    </w:p>
    <w:p w14:paraId="031ABBCB" w14:textId="5EDC0F41" w:rsidR="000E57BA" w:rsidRDefault="000E57BA" w:rsidP="000E57BA">
      <w:pPr>
        <w:rPr>
          <w:b/>
          <w:bCs/>
          <w:lang w:val="en-GB"/>
        </w:rPr>
      </w:pPr>
      <w:r w:rsidRPr="009003C9">
        <w:rPr>
          <w:b/>
          <w:bCs/>
          <w:u w:val="single"/>
          <w:lang w:val="en-GB"/>
        </w:rPr>
        <w:t>Obse</w:t>
      </w:r>
      <w:r>
        <w:rPr>
          <w:b/>
          <w:bCs/>
          <w:u w:val="single"/>
          <w:lang w:val="en-GB"/>
        </w:rPr>
        <w:t>r</w:t>
      </w:r>
      <w:r w:rsidRPr="009003C9">
        <w:rPr>
          <w:b/>
          <w:bCs/>
          <w:u w:val="single"/>
          <w:lang w:val="en-GB"/>
        </w:rPr>
        <w:t>vation 1</w:t>
      </w:r>
      <w:r w:rsidRPr="009003C9">
        <w:rPr>
          <w:b/>
          <w:bCs/>
          <w:lang w:val="en-GB"/>
        </w:rPr>
        <w:t xml:space="preserve">: RAN4 has not specified before in-band emission requirements for legacy TDD BSs as it is implementation dependent and different solutions might vary </w:t>
      </w:r>
      <w:r>
        <w:rPr>
          <w:b/>
          <w:bCs/>
          <w:lang w:val="en-GB"/>
        </w:rPr>
        <w:t>among</w:t>
      </w:r>
      <w:r w:rsidRPr="009003C9">
        <w:rPr>
          <w:b/>
          <w:bCs/>
          <w:lang w:val="en-GB"/>
        </w:rPr>
        <w:t xml:space="preserve"> vendors. </w:t>
      </w:r>
    </w:p>
    <w:p w14:paraId="77173F07" w14:textId="09B18F6D" w:rsidR="00806877" w:rsidRPr="000E57BA" w:rsidRDefault="00806877" w:rsidP="000E57BA">
      <w:pPr>
        <w:rPr>
          <w:b/>
          <w:bCs/>
          <w:lang w:val="en-GB"/>
        </w:rPr>
      </w:pPr>
      <w:r w:rsidRPr="00791D7E">
        <w:rPr>
          <w:b/>
          <w:bCs/>
          <w:u w:val="single"/>
          <w:lang w:val="en-GB"/>
        </w:rPr>
        <w:t>Observation 2</w:t>
      </w:r>
      <w:r w:rsidRPr="00791D7E">
        <w:rPr>
          <w:b/>
          <w:bCs/>
          <w:lang w:val="en-GB"/>
        </w:rPr>
        <w:t xml:space="preserve">: During study phase, RAN4 agreed to adopt legacy ACLR and ACS values for in-channel adjacent subband leakage and in-channel adjacent subband selectivity. </w:t>
      </w:r>
    </w:p>
    <w:p w14:paraId="700114CC" w14:textId="297804DC" w:rsidR="000E57BA" w:rsidRDefault="000E57BA" w:rsidP="000E57BA">
      <w:pPr>
        <w:rPr>
          <w:b/>
          <w:bCs/>
          <w:lang w:val="en-GB"/>
        </w:rPr>
      </w:pPr>
      <w:r w:rsidRPr="0099526C">
        <w:rPr>
          <w:b/>
          <w:bCs/>
          <w:u w:val="single"/>
          <w:lang w:val="en-GB"/>
        </w:rPr>
        <w:t xml:space="preserve">Observation </w:t>
      </w:r>
      <w:r w:rsidR="00806877">
        <w:rPr>
          <w:b/>
          <w:bCs/>
          <w:u w:val="single"/>
          <w:lang w:val="en-GB"/>
        </w:rPr>
        <w:t>3</w:t>
      </w:r>
      <w:r w:rsidRPr="002C31C6">
        <w:rPr>
          <w:b/>
          <w:bCs/>
          <w:lang w:val="en-GB"/>
        </w:rPr>
        <w:t>: The in-channel subband sub-band Tx leakage</w:t>
      </w:r>
      <w:r>
        <w:rPr>
          <w:b/>
          <w:bCs/>
          <w:lang w:val="en-GB"/>
        </w:rPr>
        <w:t xml:space="preserve"> and blocking</w:t>
      </w:r>
      <w:r w:rsidRPr="002C31C6">
        <w:rPr>
          <w:b/>
          <w:bCs/>
          <w:lang w:val="en-GB"/>
        </w:rPr>
        <w:t xml:space="preserve"> depend on the self-interference, inter-site and inter-sector interference considerations</w:t>
      </w:r>
      <w:r>
        <w:rPr>
          <w:b/>
          <w:bCs/>
          <w:lang w:val="en-GB"/>
        </w:rPr>
        <w:t xml:space="preserve">; thus, they are implementation dependent. </w:t>
      </w:r>
    </w:p>
    <w:p w14:paraId="402BEBC7" w14:textId="0162D28E" w:rsidR="000E57BA" w:rsidRPr="000E57BA" w:rsidRDefault="000E57BA" w:rsidP="000E57BA">
      <w:pPr>
        <w:rPr>
          <w:b/>
          <w:bCs/>
          <w:lang w:val="en-GB"/>
        </w:rPr>
      </w:pPr>
      <w:r w:rsidRPr="00477361">
        <w:rPr>
          <w:b/>
          <w:bCs/>
          <w:u w:val="single"/>
          <w:lang w:val="en-GB"/>
        </w:rPr>
        <w:t>Proposal 1</w:t>
      </w:r>
      <w:r w:rsidRPr="00477361">
        <w:rPr>
          <w:b/>
          <w:bCs/>
          <w:lang w:val="en-GB"/>
        </w:rPr>
        <w:t xml:space="preserve">: RAN4 to agree </w:t>
      </w:r>
      <w:r>
        <w:rPr>
          <w:b/>
          <w:bCs/>
          <w:lang w:val="en-GB"/>
        </w:rPr>
        <w:t xml:space="preserve">as a starting point on reusing legacy ACLR for the new in-channel adjacent subband leakage and further discuss a methodology to confirm its feasibility. </w:t>
      </w:r>
      <w:r w:rsidRPr="00477361">
        <w:rPr>
          <w:b/>
          <w:bCs/>
          <w:lang w:val="en-GB"/>
        </w:rPr>
        <w:t xml:space="preserve"> </w:t>
      </w:r>
    </w:p>
    <w:p w14:paraId="26A98EAE" w14:textId="1E2658DE" w:rsidR="000E57BA" w:rsidRPr="00844D7A" w:rsidRDefault="000E57BA" w:rsidP="000E57BA">
      <w:pPr>
        <w:rPr>
          <w:lang w:val="en-GB"/>
        </w:rPr>
      </w:pPr>
      <w:r w:rsidRPr="00477361">
        <w:rPr>
          <w:b/>
          <w:bCs/>
          <w:u w:val="single"/>
          <w:lang w:val="en-GB"/>
        </w:rPr>
        <w:t xml:space="preserve">Proposal </w:t>
      </w:r>
      <w:r>
        <w:rPr>
          <w:b/>
          <w:bCs/>
          <w:u w:val="single"/>
          <w:lang w:val="en-GB"/>
        </w:rPr>
        <w:t>2</w:t>
      </w:r>
      <w:r w:rsidRPr="00477361">
        <w:rPr>
          <w:b/>
          <w:bCs/>
          <w:lang w:val="en-GB"/>
        </w:rPr>
        <w:t xml:space="preserve">: RAN4 </w:t>
      </w:r>
      <w:r>
        <w:rPr>
          <w:b/>
          <w:bCs/>
          <w:lang w:val="en-GB"/>
        </w:rPr>
        <w:t xml:space="preserve">consider the impact of inter-CLI handling schemes when analysing </w:t>
      </w:r>
      <w:r w:rsidRPr="000E57BA">
        <w:rPr>
          <w:b/>
          <w:bCs/>
          <w:lang w:val="en-GB"/>
        </w:rPr>
        <w:t>feasible in-channel adjacent subband blocking requirement.</w:t>
      </w:r>
      <w:r>
        <w:rPr>
          <w:lang w:val="en-GB"/>
        </w:rPr>
        <w:t xml:space="preserve"> </w:t>
      </w:r>
    </w:p>
    <w:p w14:paraId="2B7C1C2C" w14:textId="77777777" w:rsidR="00A37CEF" w:rsidRPr="00D54742" w:rsidRDefault="00A37CEF" w:rsidP="002A0877">
      <w:pPr>
        <w:pStyle w:val="Heading1"/>
        <w:jc w:val="both"/>
      </w:pPr>
      <w:r>
        <w:t>References</w:t>
      </w:r>
    </w:p>
    <w:p w14:paraId="2FC73E23" w14:textId="77777777" w:rsidR="002C3946" w:rsidRDefault="002C3946" w:rsidP="002C3946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bookmarkStart w:id="5" w:name="_Ref47616084"/>
      <w:bookmarkStart w:id="6" w:name="_Ref32439522"/>
      <w:r w:rsidRPr="00753211">
        <w:rPr>
          <w:szCs w:val="20"/>
          <w:lang w:val="en-GB"/>
        </w:rPr>
        <w:t>RP-240789</w:t>
      </w:r>
      <w:r w:rsidRPr="005C32DA">
        <w:rPr>
          <w:szCs w:val="20"/>
          <w:lang w:val="en-GB"/>
        </w:rPr>
        <w:t xml:space="preserve"> </w:t>
      </w:r>
      <w:r w:rsidRPr="00785E35">
        <w:rPr>
          <w:szCs w:val="20"/>
          <w:lang w:val="en-GB"/>
        </w:rPr>
        <w:t>“</w:t>
      </w:r>
      <w:r>
        <w:rPr>
          <w:szCs w:val="20"/>
          <w:lang w:val="en-GB"/>
        </w:rPr>
        <w:t>Revised</w:t>
      </w:r>
      <w:r w:rsidRPr="005945B3">
        <w:rPr>
          <w:szCs w:val="20"/>
          <w:lang w:val="en-GB"/>
        </w:rPr>
        <w:t xml:space="preserve"> WID: Evolution of NR duplex operation: Sub-band full duplex (SBFD)</w:t>
      </w:r>
      <w:r w:rsidRPr="00785E35">
        <w:rPr>
          <w:szCs w:val="20"/>
          <w:lang w:val="en-GB"/>
        </w:rPr>
        <w:t xml:space="preserve">”, </w:t>
      </w:r>
      <w:r>
        <w:rPr>
          <w:szCs w:val="20"/>
          <w:lang w:val="en-GB"/>
        </w:rPr>
        <w:t>Huawei, HiSilicon</w:t>
      </w:r>
      <w:r w:rsidRPr="00785E35">
        <w:rPr>
          <w:szCs w:val="20"/>
          <w:lang w:val="en-GB"/>
        </w:rPr>
        <w:t xml:space="preserve">, </w:t>
      </w:r>
      <w:r w:rsidRPr="003E1C6B">
        <w:rPr>
          <w:szCs w:val="20"/>
          <w:lang w:val="en-GB"/>
        </w:rPr>
        <w:t>3GPP TSG RAN#</w:t>
      </w:r>
      <w:r>
        <w:rPr>
          <w:szCs w:val="20"/>
          <w:lang w:val="en-GB"/>
        </w:rPr>
        <w:t>103</w:t>
      </w:r>
      <w:r w:rsidRPr="00785E35">
        <w:rPr>
          <w:szCs w:val="20"/>
          <w:lang w:val="en-GB"/>
        </w:rPr>
        <w:t>.</w:t>
      </w:r>
      <w:bookmarkEnd w:id="5"/>
    </w:p>
    <w:bookmarkEnd w:id="6"/>
    <w:p w14:paraId="546A46BE" w14:textId="77777777" w:rsidR="0055174F" w:rsidRDefault="0055174F" w:rsidP="0055174F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r w:rsidRPr="009055E8">
        <w:rPr>
          <w:szCs w:val="20"/>
          <w:lang w:val="en-GB"/>
        </w:rPr>
        <w:t>R4-2419907</w:t>
      </w:r>
      <w:r w:rsidRPr="00A37CEF">
        <w:rPr>
          <w:szCs w:val="20"/>
          <w:lang w:val="en-GB"/>
        </w:rPr>
        <w:t>, “</w:t>
      </w:r>
      <w:r w:rsidRPr="00F10AFF">
        <w:rPr>
          <w:szCs w:val="20"/>
          <w:lang w:val="en-GB"/>
        </w:rPr>
        <w:t>Way Forward for [11</w:t>
      </w:r>
      <w:r>
        <w:rPr>
          <w:szCs w:val="20"/>
          <w:lang w:val="en-GB"/>
        </w:rPr>
        <w:t>3</w:t>
      </w:r>
      <w:r w:rsidRPr="00F10AFF">
        <w:rPr>
          <w:szCs w:val="20"/>
          <w:lang w:val="en-GB"/>
        </w:rPr>
        <w:t>][30</w:t>
      </w:r>
      <w:r>
        <w:rPr>
          <w:szCs w:val="20"/>
          <w:lang w:val="en-GB"/>
        </w:rPr>
        <w:t>6</w:t>
      </w:r>
      <w:r w:rsidRPr="00F10AFF">
        <w:rPr>
          <w:szCs w:val="20"/>
          <w:lang w:val="en-GB"/>
        </w:rPr>
        <w:t>] NR_duplex_evo_General</w:t>
      </w:r>
      <w:r w:rsidRPr="00A37CEF">
        <w:rPr>
          <w:szCs w:val="20"/>
          <w:lang w:val="en-GB"/>
        </w:rPr>
        <w:t xml:space="preserve">”, </w:t>
      </w:r>
      <w:r>
        <w:rPr>
          <w:szCs w:val="20"/>
          <w:lang w:val="en-GB"/>
        </w:rPr>
        <w:t>RAN4#113, Samsung</w:t>
      </w:r>
      <w:r w:rsidRPr="00A37CEF">
        <w:rPr>
          <w:szCs w:val="20"/>
          <w:lang w:val="en-GB"/>
        </w:rPr>
        <w:t xml:space="preserve">. </w:t>
      </w:r>
    </w:p>
    <w:p w14:paraId="7547DE2D" w14:textId="77777777" w:rsidR="00A37CEF" w:rsidRDefault="00A37CEF" w:rsidP="002A0877">
      <w:pPr>
        <w:jc w:val="both"/>
      </w:pPr>
    </w:p>
    <w:sectPr w:rsidR="00A37CEF" w:rsidSect="00370B59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4DDA9" w14:textId="77777777" w:rsidR="00DE6320" w:rsidRDefault="00DE6320">
      <w:pPr>
        <w:spacing w:after="0"/>
      </w:pPr>
      <w:r>
        <w:separator/>
      </w:r>
    </w:p>
  </w:endnote>
  <w:endnote w:type="continuationSeparator" w:id="0">
    <w:p w14:paraId="20B74900" w14:textId="77777777" w:rsidR="00DE6320" w:rsidRDefault="00DE6320">
      <w:pPr>
        <w:spacing w:after="0"/>
      </w:pPr>
      <w:r>
        <w:continuationSeparator/>
      </w:r>
    </w:p>
  </w:endnote>
  <w:endnote w:type="continuationNotice" w:id="1">
    <w:p w14:paraId="7075E5AE" w14:textId="77777777" w:rsidR="001A16DC" w:rsidRDefault="001A16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98EDF" w14:textId="77777777" w:rsidR="00146ED2" w:rsidRDefault="00E0451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8AD202" w14:textId="77777777" w:rsidR="00146ED2" w:rsidRDefault="00146ED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E84F1" w14:textId="77777777" w:rsidR="00146ED2" w:rsidRDefault="00E0451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22C2D" w14:textId="77777777" w:rsidR="00DE6320" w:rsidRDefault="00DE6320">
      <w:pPr>
        <w:spacing w:after="0"/>
      </w:pPr>
      <w:r>
        <w:separator/>
      </w:r>
    </w:p>
  </w:footnote>
  <w:footnote w:type="continuationSeparator" w:id="0">
    <w:p w14:paraId="6A99F5D5" w14:textId="77777777" w:rsidR="00DE6320" w:rsidRDefault="00DE6320">
      <w:pPr>
        <w:spacing w:after="0"/>
      </w:pPr>
      <w:r>
        <w:continuationSeparator/>
      </w:r>
    </w:p>
  </w:footnote>
  <w:footnote w:type="continuationNotice" w:id="1">
    <w:p w14:paraId="2B6E4B5F" w14:textId="77777777" w:rsidR="001A16DC" w:rsidRDefault="001A16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E779E" w14:textId="77777777" w:rsidR="00146ED2" w:rsidRDefault="00E045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01784A"/>
    <w:multiLevelType w:val="hybridMultilevel"/>
    <w:tmpl w:val="1FDA7812"/>
    <w:lvl w:ilvl="0" w:tplc="BEBA84A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72F8F2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F4F654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4AA828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363DA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34C65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AA3D1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14569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8CEC8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1E230B"/>
    <w:multiLevelType w:val="hybridMultilevel"/>
    <w:tmpl w:val="43929580"/>
    <w:lvl w:ilvl="0" w:tplc="C63A292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C60B24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C2D45A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EC3D8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D262D4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8427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8AA97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D8831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36CAC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E2747"/>
    <w:multiLevelType w:val="hybridMultilevel"/>
    <w:tmpl w:val="FCB694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92D56"/>
    <w:multiLevelType w:val="hybridMultilevel"/>
    <w:tmpl w:val="A6CECC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D0418B"/>
    <w:multiLevelType w:val="hybridMultilevel"/>
    <w:tmpl w:val="7B4EF652"/>
    <w:lvl w:ilvl="0" w:tplc="566E1CD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A431B0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245D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CFE5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F61A9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4EBB8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EE95F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0CE034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4212D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977C94"/>
    <w:multiLevelType w:val="hybridMultilevel"/>
    <w:tmpl w:val="321493FE"/>
    <w:lvl w:ilvl="0" w:tplc="E0DAACB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1A1206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4E1D5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D223E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46286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AAE8C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2E02AA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5A43E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8CE4B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55668"/>
    <w:multiLevelType w:val="hybridMultilevel"/>
    <w:tmpl w:val="3B02073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636914"/>
    <w:multiLevelType w:val="hybridMultilevel"/>
    <w:tmpl w:val="F8F2FDFE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2" w15:restartNumberingAfterBreak="0">
    <w:nsid w:val="2E4252F6"/>
    <w:multiLevelType w:val="multilevel"/>
    <w:tmpl w:val="FD3EE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2E11247"/>
    <w:multiLevelType w:val="hybridMultilevel"/>
    <w:tmpl w:val="E1D06C7C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37E350F7"/>
    <w:multiLevelType w:val="hybridMultilevel"/>
    <w:tmpl w:val="8EBEA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82B34"/>
    <w:multiLevelType w:val="hybridMultilevel"/>
    <w:tmpl w:val="2FF08B96"/>
    <w:lvl w:ilvl="0" w:tplc="8D3E0F0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06D2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20B33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2E4A8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68757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663C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66BEE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762BF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4C100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B2372AB"/>
    <w:multiLevelType w:val="hybridMultilevel"/>
    <w:tmpl w:val="C00C2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FB6BED"/>
    <w:multiLevelType w:val="hybridMultilevel"/>
    <w:tmpl w:val="581CC4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B82F7D"/>
    <w:multiLevelType w:val="hybridMultilevel"/>
    <w:tmpl w:val="F43C2416"/>
    <w:lvl w:ilvl="0" w:tplc="BCD27D9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E01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EA5534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92DF6E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2E8D0A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7C596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661E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8171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407750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016819"/>
    <w:multiLevelType w:val="hybridMultilevel"/>
    <w:tmpl w:val="ACF4A33C"/>
    <w:lvl w:ilvl="0" w:tplc="A2E4A15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4410B0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1CE29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98D87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7A50A0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1A85B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A4D98C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C4D89E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A620A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EFF4D03"/>
    <w:multiLevelType w:val="hybridMultilevel"/>
    <w:tmpl w:val="8CB2F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D2CC8"/>
    <w:multiLevelType w:val="hybridMultilevel"/>
    <w:tmpl w:val="4274D04E"/>
    <w:lvl w:ilvl="0" w:tplc="E01E9F5E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04491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AC230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DEEA9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745DD6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62DE7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98EA7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446C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5ED7B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B43665"/>
    <w:multiLevelType w:val="hybridMultilevel"/>
    <w:tmpl w:val="73AE7A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21C85"/>
    <w:multiLevelType w:val="hybridMultilevel"/>
    <w:tmpl w:val="1DC099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7A2D57"/>
    <w:multiLevelType w:val="hybridMultilevel"/>
    <w:tmpl w:val="43BCD9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93D63"/>
    <w:multiLevelType w:val="hybridMultilevel"/>
    <w:tmpl w:val="4A505C56"/>
    <w:lvl w:ilvl="0" w:tplc="EA1818F2">
      <w:start w:val="93"/>
      <w:numFmt w:val="bullet"/>
      <w:lvlText w:val="-"/>
      <w:lvlJc w:val="left"/>
      <w:pPr>
        <w:ind w:left="360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18F4DAD"/>
    <w:multiLevelType w:val="hybridMultilevel"/>
    <w:tmpl w:val="3E6076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94988422">
    <w:abstractNumId w:val="10"/>
  </w:num>
  <w:num w:numId="2" w16cid:durableId="276178333">
    <w:abstractNumId w:val="0"/>
  </w:num>
  <w:num w:numId="3" w16cid:durableId="741606055">
    <w:abstractNumId w:val="2"/>
  </w:num>
  <w:num w:numId="4" w16cid:durableId="1935287387">
    <w:abstractNumId w:val="16"/>
  </w:num>
  <w:num w:numId="5" w16cid:durableId="1753619575">
    <w:abstractNumId w:val="21"/>
  </w:num>
  <w:num w:numId="6" w16cid:durableId="528227147">
    <w:abstractNumId w:val="6"/>
  </w:num>
  <w:num w:numId="7" w16cid:durableId="1151141409">
    <w:abstractNumId w:val="23"/>
  </w:num>
  <w:num w:numId="8" w16cid:durableId="1326208731">
    <w:abstractNumId w:val="20"/>
  </w:num>
  <w:num w:numId="9" w16cid:durableId="2096242991">
    <w:abstractNumId w:val="17"/>
  </w:num>
  <w:num w:numId="10" w16cid:durableId="964656557">
    <w:abstractNumId w:val="22"/>
  </w:num>
  <w:num w:numId="11" w16cid:durableId="724842134">
    <w:abstractNumId w:val="5"/>
  </w:num>
  <w:num w:numId="12" w16cid:durableId="1263489318">
    <w:abstractNumId w:val="29"/>
  </w:num>
  <w:num w:numId="13" w16cid:durableId="1656177574">
    <w:abstractNumId w:val="4"/>
  </w:num>
  <w:num w:numId="14" w16cid:durableId="1351568597">
    <w:abstractNumId w:val="1"/>
  </w:num>
  <w:num w:numId="15" w16cid:durableId="197086569">
    <w:abstractNumId w:val="7"/>
  </w:num>
  <w:num w:numId="16" w16cid:durableId="1700426356">
    <w:abstractNumId w:val="8"/>
  </w:num>
  <w:num w:numId="17" w16cid:durableId="517815193">
    <w:abstractNumId w:val="9"/>
  </w:num>
  <w:num w:numId="18" w16cid:durableId="1275752242">
    <w:abstractNumId w:val="19"/>
  </w:num>
  <w:num w:numId="19" w16cid:durableId="1417093260">
    <w:abstractNumId w:val="15"/>
  </w:num>
  <w:num w:numId="20" w16cid:durableId="925773427">
    <w:abstractNumId w:val="27"/>
  </w:num>
  <w:num w:numId="21" w16cid:durableId="306326423">
    <w:abstractNumId w:val="3"/>
  </w:num>
  <w:num w:numId="22" w16cid:durableId="1262372539">
    <w:abstractNumId w:val="14"/>
  </w:num>
  <w:num w:numId="23" w16cid:durableId="634524535">
    <w:abstractNumId w:val="13"/>
  </w:num>
  <w:num w:numId="24" w16cid:durableId="1509710620">
    <w:abstractNumId w:val="26"/>
  </w:num>
  <w:num w:numId="25" w16cid:durableId="475488186">
    <w:abstractNumId w:val="25"/>
  </w:num>
  <w:num w:numId="26" w16cid:durableId="577984225">
    <w:abstractNumId w:val="18"/>
  </w:num>
  <w:num w:numId="27" w16cid:durableId="236524678">
    <w:abstractNumId w:val="28"/>
  </w:num>
  <w:num w:numId="28" w16cid:durableId="1915163336">
    <w:abstractNumId w:val="11"/>
  </w:num>
  <w:num w:numId="29" w16cid:durableId="1180585837">
    <w:abstractNumId w:val="12"/>
  </w:num>
  <w:num w:numId="30" w16cid:durableId="13095211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CEF"/>
    <w:rsid w:val="00002BE6"/>
    <w:rsid w:val="00004ACF"/>
    <w:rsid w:val="00011B8F"/>
    <w:rsid w:val="00042F87"/>
    <w:rsid w:val="00046278"/>
    <w:rsid w:val="000522DE"/>
    <w:rsid w:val="00071946"/>
    <w:rsid w:val="0007385C"/>
    <w:rsid w:val="00097DDE"/>
    <w:rsid w:val="000B045F"/>
    <w:rsid w:val="000B0B8C"/>
    <w:rsid w:val="000C2D98"/>
    <w:rsid w:val="000D1A15"/>
    <w:rsid w:val="000E1A1B"/>
    <w:rsid w:val="000E57BA"/>
    <w:rsid w:val="0010208B"/>
    <w:rsid w:val="00110C08"/>
    <w:rsid w:val="00124C37"/>
    <w:rsid w:val="00125EDD"/>
    <w:rsid w:val="00127E88"/>
    <w:rsid w:val="00146ED2"/>
    <w:rsid w:val="00154124"/>
    <w:rsid w:val="001663D5"/>
    <w:rsid w:val="00171359"/>
    <w:rsid w:val="0017600B"/>
    <w:rsid w:val="001828E1"/>
    <w:rsid w:val="0018724C"/>
    <w:rsid w:val="001A16DC"/>
    <w:rsid w:val="001A2890"/>
    <w:rsid w:val="001B0613"/>
    <w:rsid w:val="001C19F4"/>
    <w:rsid w:val="001F7C18"/>
    <w:rsid w:val="0020337F"/>
    <w:rsid w:val="00205B4B"/>
    <w:rsid w:val="00214068"/>
    <w:rsid w:val="00222793"/>
    <w:rsid w:val="002267C4"/>
    <w:rsid w:val="00226BAA"/>
    <w:rsid w:val="00227A45"/>
    <w:rsid w:val="0023172D"/>
    <w:rsid w:val="002415E8"/>
    <w:rsid w:val="00253E95"/>
    <w:rsid w:val="002559EB"/>
    <w:rsid w:val="002661E3"/>
    <w:rsid w:val="00271968"/>
    <w:rsid w:val="00275272"/>
    <w:rsid w:val="00275BBE"/>
    <w:rsid w:val="00275C28"/>
    <w:rsid w:val="00283960"/>
    <w:rsid w:val="00285987"/>
    <w:rsid w:val="002904E7"/>
    <w:rsid w:val="002A0877"/>
    <w:rsid w:val="002A48E5"/>
    <w:rsid w:val="002B37C9"/>
    <w:rsid w:val="002C31C6"/>
    <w:rsid w:val="002C3946"/>
    <w:rsid w:val="002E21FA"/>
    <w:rsid w:val="002E379C"/>
    <w:rsid w:val="002E68AC"/>
    <w:rsid w:val="002E7C21"/>
    <w:rsid w:val="002F3C21"/>
    <w:rsid w:val="00301325"/>
    <w:rsid w:val="00302B97"/>
    <w:rsid w:val="0030660F"/>
    <w:rsid w:val="0031380B"/>
    <w:rsid w:val="0031595A"/>
    <w:rsid w:val="0032021E"/>
    <w:rsid w:val="00323D8C"/>
    <w:rsid w:val="00341CB4"/>
    <w:rsid w:val="0034356A"/>
    <w:rsid w:val="0034473B"/>
    <w:rsid w:val="00367D24"/>
    <w:rsid w:val="00370B59"/>
    <w:rsid w:val="00372ECA"/>
    <w:rsid w:val="00376565"/>
    <w:rsid w:val="0038374B"/>
    <w:rsid w:val="0039127D"/>
    <w:rsid w:val="003A141C"/>
    <w:rsid w:val="003A2407"/>
    <w:rsid w:val="003A66A2"/>
    <w:rsid w:val="003B0C33"/>
    <w:rsid w:val="003B1FFF"/>
    <w:rsid w:val="003B2015"/>
    <w:rsid w:val="003C7439"/>
    <w:rsid w:val="003D175F"/>
    <w:rsid w:val="003E41D4"/>
    <w:rsid w:val="00401DF9"/>
    <w:rsid w:val="00403187"/>
    <w:rsid w:val="0040655A"/>
    <w:rsid w:val="0042090E"/>
    <w:rsid w:val="00421E71"/>
    <w:rsid w:val="00422733"/>
    <w:rsid w:val="00422C13"/>
    <w:rsid w:val="004563FB"/>
    <w:rsid w:val="00460441"/>
    <w:rsid w:val="00465296"/>
    <w:rsid w:val="00477361"/>
    <w:rsid w:val="0048722C"/>
    <w:rsid w:val="004945D2"/>
    <w:rsid w:val="004972A7"/>
    <w:rsid w:val="004A56D0"/>
    <w:rsid w:val="004B0D97"/>
    <w:rsid w:val="004B1F7C"/>
    <w:rsid w:val="004C1401"/>
    <w:rsid w:val="004C497B"/>
    <w:rsid w:val="004D0585"/>
    <w:rsid w:val="004F281F"/>
    <w:rsid w:val="004F2C94"/>
    <w:rsid w:val="00504B42"/>
    <w:rsid w:val="00510EC7"/>
    <w:rsid w:val="00511429"/>
    <w:rsid w:val="00516597"/>
    <w:rsid w:val="00516DAF"/>
    <w:rsid w:val="00523634"/>
    <w:rsid w:val="0052648A"/>
    <w:rsid w:val="00531E79"/>
    <w:rsid w:val="00540B8E"/>
    <w:rsid w:val="00543697"/>
    <w:rsid w:val="00543C13"/>
    <w:rsid w:val="0055174F"/>
    <w:rsid w:val="00555FEC"/>
    <w:rsid w:val="00556286"/>
    <w:rsid w:val="00556880"/>
    <w:rsid w:val="00560D4B"/>
    <w:rsid w:val="005752C8"/>
    <w:rsid w:val="00582C3B"/>
    <w:rsid w:val="00586E75"/>
    <w:rsid w:val="00593642"/>
    <w:rsid w:val="005C3F24"/>
    <w:rsid w:val="005C6CB9"/>
    <w:rsid w:val="005D66C2"/>
    <w:rsid w:val="005E52BB"/>
    <w:rsid w:val="005F730B"/>
    <w:rsid w:val="00604AEA"/>
    <w:rsid w:val="006141CE"/>
    <w:rsid w:val="00633543"/>
    <w:rsid w:val="0064631E"/>
    <w:rsid w:val="00664464"/>
    <w:rsid w:val="00667B84"/>
    <w:rsid w:val="006727BE"/>
    <w:rsid w:val="006738CE"/>
    <w:rsid w:val="00675CB8"/>
    <w:rsid w:val="00676CAA"/>
    <w:rsid w:val="00680CA4"/>
    <w:rsid w:val="006818F8"/>
    <w:rsid w:val="006855AC"/>
    <w:rsid w:val="00690ED5"/>
    <w:rsid w:val="00692032"/>
    <w:rsid w:val="00693E11"/>
    <w:rsid w:val="006A7447"/>
    <w:rsid w:val="006A76FE"/>
    <w:rsid w:val="006B0E0F"/>
    <w:rsid w:val="006B167F"/>
    <w:rsid w:val="006B2638"/>
    <w:rsid w:val="006C7E4F"/>
    <w:rsid w:val="006D2AFF"/>
    <w:rsid w:val="006E0AE9"/>
    <w:rsid w:val="006F730F"/>
    <w:rsid w:val="007018D8"/>
    <w:rsid w:val="00705014"/>
    <w:rsid w:val="0070632C"/>
    <w:rsid w:val="0072106E"/>
    <w:rsid w:val="00723A0B"/>
    <w:rsid w:val="007311B6"/>
    <w:rsid w:val="00733995"/>
    <w:rsid w:val="00745012"/>
    <w:rsid w:val="00752961"/>
    <w:rsid w:val="00753211"/>
    <w:rsid w:val="007621D1"/>
    <w:rsid w:val="0076351B"/>
    <w:rsid w:val="00767E7E"/>
    <w:rsid w:val="00771053"/>
    <w:rsid w:val="00773780"/>
    <w:rsid w:val="00777074"/>
    <w:rsid w:val="00781AF2"/>
    <w:rsid w:val="00791D7E"/>
    <w:rsid w:val="00797682"/>
    <w:rsid w:val="007C255B"/>
    <w:rsid w:val="007D63E0"/>
    <w:rsid w:val="007E3189"/>
    <w:rsid w:val="007E49C0"/>
    <w:rsid w:val="007F13E3"/>
    <w:rsid w:val="00801478"/>
    <w:rsid w:val="00806877"/>
    <w:rsid w:val="00812AFE"/>
    <w:rsid w:val="00816D3E"/>
    <w:rsid w:val="00821175"/>
    <w:rsid w:val="0082235C"/>
    <w:rsid w:val="00825345"/>
    <w:rsid w:val="00825F5E"/>
    <w:rsid w:val="00844D7A"/>
    <w:rsid w:val="00890214"/>
    <w:rsid w:val="008950C0"/>
    <w:rsid w:val="0089771A"/>
    <w:rsid w:val="008A5ED0"/>
    <w:rsid w:val="008B00FC"/>
    <w:rsid w:val="008C20CD"/>
    <w:rsid w:val="008C608C"/>
    <w:rsid w:val="008D6DE6"/>
    <w:rsid w:val="008E007A"/>
    <w:rsid w:val="008F1778"/>
    <w:rsid w:val="009003C9"/>
    <w:rsid w:val="009015C8"/>
    <w:rsid w:val="00904E4C"/>
    <w:rsid w:val="0090669B"/>
    <w:rsid w:val="00907F3F"/>
    <w:rsid w:val="009169F8"/>
    <w:rsid w:val="00925A3A"/>
    <w:rsid w:val="0093198E"/>
    <w:rsid w:val="0093672C"/>
    <w:rsid w:val="0094195C"/>
    <w:rsid w:val="00946833"/>
    <w:rsid w:val="009534D5"/>
    <w:rsid w:val="00971CC2"/>
    <w:rsid w:val="00975340"/>
    <w:rsid w:val="00984C63"/>
    <w:rsid w:val="00987A27"/>
    <w:rsid w:val="0099526C"/>
    <w:rsid w:val="009C07A6"/>
    <w:rsid w:val="009C497B"/>
    <w:rsid w:val="009D3DFA"/>
    <w:rsid w:val="009D6FE1"/>
    <w:rsid w:val="009E4D3F"/>
    <w:rsid w:val="009E5680"/>
    <w:rsid w:val="009F0F3F"/>
    <w:rsid w:val="009F1412"/>
    <w:rsid w:val="00A03F90"/>
    <w:rsid w:val="00A06F1C"/>
    <w:rsid w:val="00A22A4B"/>
    <w:rsid w:val="00A25A5D"/>
    <w:rsid w:val="00A272D9"/>
    <w:rsid w:val="00A333A3"/>
    <w:rsid w:val="00A3361D"/>
    <w:rsid w:val="00A37CEF"/>
    <w:rsid w:val="00A4195F"/>
    <w:rsid w:val="00A51691"/>
    <w:rsid w:val="00A5423E"/>
    <w:rsid w:val="00A60640"/>
    <w:rsid w:val="00A64609"/>
    <w:rsid w:val="00A701A8"/>
    <w:rsid w:val="00A7799D"/>
    <w:rsid w:val="00A8606B"/>
    <w:rsid w:val="00A951B5"/>
    <w:rsid w:val="00A96DB3"/>
    <w:rsid w:val="00AA6CCC"/>
    <w:rsid w:val="00AC7ACA"/>
    <w:rsid w:val="00AD546F"/>
    <w:rsid w:val="00AD55E4"/>
    <w:rsid w:val="00AE1C58"/>
    <w:rsid w:val="00AF207B"/>
    <w:rsid w:val="00AF2ADB"/>
    <w:rsid w:val="00AF54AA"/>
    <w:rsid w:val="00AF6269"/>
    <w:rsid w:val="00B03D24"/>
    <w:rsid w:val="00B27162"/>
    <w:rsid w:val="00B35350"/>
    <w:rsid w:val="00B40F6E"/>
    <w:rsid w:val="00B42B77"/>
    <w:rsid w:val="00B43528"/>
    <w:rsid w:val="00B4571C"/>
    <w:rsid w:val="00B52C0B"/>
    <w:rsid w:val="00B54521"/>
    <w:rsid w:val="00B6421A"/>
    <w:rsid w:val="00B65869"/>
    <w:rsid w:val="00B671A2"/>
    <w:rsid w:val="00B8218A"/>
    <w:rsid w:val="00B8658A"/>
    <w:rsid w:val="00B93E24"/>
    <w:rsid w:val="00BB0D7F"/>
    <w:rsid w:val="00BC19E0"/>
    <w:rsid w:val="00BC2181"/>
    <w:rsid w:val="00BC26B2"/>
    <w:rsid w:val="00BC29C5"/>
    <w:rsid w:val="00BD49BF"/>
    <w:rsid w:val="00BF05C4"/>
    <w:rsid w:val="00BF3F6A"/>
    <w:rsid w:val="00C23752"/>
    <w:rsid w:val="00C42092"/>
    <w:rsid w:val="00C46B94"/>
    <w:rsid w:val="00C476F7"/>
    <w:rsid w:val="00C82506"/>
    <w:rsid w:val="00CC1FEB"/>
    <w:rsid w:val="00CC3ED4"/>
    <w:rsid w:val="00CC5B9A"/>
    <w:rsid w:val="00CC5FFA"/>
    <w:rsid w:val="00CD1ACE"/>
    <w:rsid w:val="00CE7110"/>
    <w:rsid w:val="00CF325A"/>
    <w:rsid w:val="00CF3E04"/>
    <w:rsid w:val="00CF75D3"/>
    <w:rsid w:val="00D25E76"/>
    <w:rsid w:val="00D3736F"/>
    <w:rsid w:val="00D51D42"/>
    <w:rsid w:val="00D60509"/>
    <w:rsid w:val="00D81C2B"/>
    <w:rsid w:val="00D85800"/>
    <w:rsid w:val="00DA31C3"/>
    <w:rsid w:val="00DC004D"/>
    <w:rsid w:val="00DE0ACD"/>
    <w:rsid w:val="00DE6320"/>
    <w:rsid w:val="00DF05E5"/>
    <w:rsid w:val="00DF4BCD"/>
    <w:rsid w:val="00E010D1"/>
    <w:rsid w:val="00E02445"/>
    <w:rsid w:val="00E0451E"/>
    <w:rsid w:val="00E13A7C"/>
    <w:rsid w:val="00E210C6"/>
    <w:rsid w:val="00E242F2"/>
    <w:rsid w:val="00E307AE"/>
    <w:rsid w:val="00E324D7"/>
    <w:rsid w:val="00E4434F"/>
    <w:rsid w:val="00E51887"/>
    <w:rsid w:val="00E549B2"/>
    <w:rsid w:val="00E57003"/>
    <w:rsid w:val="00E5796C"/>
    <w:rsid w:val="00E60F3D"/>
    <w:rsid w:val="00E751F4"/>
    <w:rsid w:val="00E76E43"/>
    <w:rsid w:val="00E8553E"/>
    <w:rsid w:val="00E97104"/>
    <w:rsid w:val="00EA3C4E"/>
    <w:rsid w:val="00EA7DF6"/>
    <w:rsid w:val="00EB7153"/>
    <w:rsid w:val="00ED7681"/>
    <w:rsid w:val="00EE146F"/>
    <w:rsid w:val="00EF442F"/>
    <w:rsid w:val="00EF476A"/>
    <w:rsid w:val="00EF49CD"/>
    <w:rsid w:val="00F0171B"/>
    <w:rsid w:val="00F0613B"/>
    <w:rsid w:val="00F12745"/>
    <w:rsid w:val="00F12D22"/>
    <w:rsid w:val="00F16740"/>
    <w:rsid w:val="00F44EF7"/>
    <w:rsid w:val="00F46287"/>
    <w:rsid w:val="00F47183"/>
    <w:rsid w:val="00F5459B"/>
    <w:rsid w:val="00F74FA8"/>
    <w:rsid w:val="00F8145A"/>
    <w:rsid w:val="00F82715"/>
    <w:rsid w:val="00F965A9"/>
    <w:rsid w:val="00FA4705"/>
    <w:rsid w:val="00FA77C8"/>
    <w:rsid w:val="00FC4FAD"/>
    <w:rsid w:val="00FC7347"/>
    <w:rsid w:val="00FD4B25"/>
    <w:rsid w:val="00FE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6E210"/>
  <w15:chartTrackingRefBased/>
  <w15:docId w15:val="{592D8395-509E-4F6B-91B0-F75564663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C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1"/>
    <w:qFormat/>
    <w:rsid w:val="00A37CEF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A37C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37CE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37CE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37CE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37CE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37CE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37C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37C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A37CE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rsid w:val="00A37CEF"/>
    <w:rPr>
      <w:rFonts w:ascii="Arial" w:eastAsia="SimSu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A37CEF"/>
    <w:rPr>
      <w:rFonts w:ascii="Arial" w:eastAsia="SimSu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aliases w:val="h4 Char"/>
    <w:basedOn w:val="DefaultParagraphFont"/>
    <w:link w:val="Heading4"/>
    <w:rsid w:val="00A37CEF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rsid w:val="00A37CEF"/>
    <w:rPr>
      <w:rFonts w:ascii="Arial" w:eastAsia="SimSun" w:hAnsi="Arial" w:cs="Times New Roman"/>
      <w:kern w:val="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TOC8">
    <w:name w:val="toc 8"/>
    <w:basedOn w:val="TOC1"/>
    <w:semiHidden/>
    <w:rsid w:val="00A37CEF"/>
    <w:pPr>
      <w:spacing w:before="180"/>
      <w:ind w:left="2693" w:hanging="2693"/>
    </w:pPr>
    <w:rPr>
      <w:b/>
    </w:rPr>
  </w:style>
  <w:style w:type="paragraph" w:styleId="TOC1">
    <w:name w:val="toc 1"/>
    <w:semiHidden/>
    <w:rsid w:val="00A37C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kern w:val="0"/>
      <w:szCs w:val="20"/>
      <w14:ligatures w14:val="none"/>
    </w:rPr>
  </w:style>
  <w:style w:type="paragraph" w:customStyle="1" w:styleId="ZT">
    <w:name w:val="ZT"/>
    <w:rsid w:val="00A37C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kern w:val="0"/>
      <w:sz w:val="34"/>
      <w:szCs w:val="20"/>
      <w:lang w:val="en-GB"/>
      <w14:ligatures w14:val="none"/>
    </w:rPr>
  </w:style>
  <w:style w:type="paragraph" w:styleId="TOC5">
    <w:name w:val="toc 5"/>
    <w:basedOn w:val="TOC4"/>
    <w:semiHidden/>
    <w:rsid w:val="00A37CEF"/>
    <w:pPr>
      <w:ind w:left="1701" w:hanging="1701"/>
    </w:pPr>
  </w:style>
  <w:style w:type="paragraph" w:styleId="TOC4">
    <w:name w:val="toc 4"/>
    <w:basedOn w:val="TOC3"/>
    <w:semiHidden/>
    <w:rsid w:val="00A37CEF"/>
    <w:pPr>
      <w:ind w:left="1418" w:hanging="1418"/>
    </w:pPr>
  </w:style>
  <w:style w:type="paragraph" w:styleId="TOC3">
    <w:name w:val="toc 3"/>
    <w:basedOn w:val="TOC2"/>
    <w:semiHidden/>
    <w:rsid w:val="00A37CEF"/>
    <w:pPr>
      <w:ind w:left="1134" w:hanging="1134"/>
    </w:pPr>
  </w:style>
  <w:style w:type="paragraph" w:styleId="TOC2">
    <w:name w:val="toc 2"/>
    <w:basedOn w:val="TOC1"/>
    <w:semiHidden/>
    <w:rsid w:val="00A37C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7CEF"/>
    <w:pPr>
      <w:ind w:left="284"/>
    </w:pPr>
  </w:style>
  <w:style w:type="paragraph" w:styleId="Index1">
    <w:name w:val="index 1"/>
    <w:basedOn w:val="Normal"/>
    <w:semiHidden/>
    <w:rsid w:val="00A37CEF"/>
    <w:pPr>
      <w:keepLines/>
      <w:spacing w:after="0"/>
    </w:pPr>
  </w:style>
  <w:style w:type="paragraph" w:customStyle="1" w:styleId="ZH">
    <w:name w:val="ZH"/>
    <w:rsid w:val="00A37C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TT">
    <w:name w:val="TT"/>
    <w:basedOn w:val="Heading1"/>
    <w:next w:val="Normal"/>
    <w:rsid w:val="00A37CEF"/>
    <w:pPr>
      <w:outlineLvl w:val="9"/>
    </w:pPr>
  </w:style>
  <w:style w:type="paragraph" w:styleId="ListNumber2">
    <w:name w:val="List Number 2"/>
    <w:basedOn w:val="ListNumber"/>
    <w:rsid w:val="00A37CE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37CE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37CEF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styleId="FootnoteReference">
    <w:name w:val="footnote reference"/>
    <w:semiHidden/>
    <w:rsid w:val="00A37CE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7CE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7CEF"/>
    <w:rPr>
      <w:rFonts w:ascii="Times New Roman" w:eastAsia="SimSun" w:hAnsi="Times New Roman" w:cs="Times New Roman"/>
      <w:kern w:val="0"/>
      <w:sz w:val="16"/>
      <w:szCs w:val="20"/>
      <w14:ligatures w14:val="none"/>
    </w:rPr>
  </w:style>
  <w:style w:type="paragraph" w:customStyle="1" w:styleId="TAH">
    <w:name w:val="TAH"/>
    <w:basedOn w:val="TAC"/>
    <w:link w:val="TAHCar"/>
    <w:qFormat/>
    <w:rsid w:val="00A37CEF"/>
    <w:rPr>
      <w:b/>
    </w:rPr>
  </w:style>
  <w:style w:type="paragraph" w:customStyle="1" w:styleId="TAC">
    <w:name w:val="TAC"/>
    <w:basedOn w:val="TAL"/>
    <w:link w:val="TACChar"/>
    <w:qFormat/>
    <w:rsid w:val="00A37CEF"/>
    <w:pPr>
      <w:jc w:val="center"/>
    </w:pPr>
  </w:style>
  <w:style w:type="paragraph" w:customStyle="1" w:styleId="TF">
    <w:name w:val="TF"/>
    <w:basedOn w:val="TH"/>
    <w:rsid w:val="00A37CEF"/>
    <w:pPr>
      <w:keepNext w:val="0"/>
      <w:spacing w:before="0" w:after="240"/>
    </w:pPr>
  </w:style>
  <w:style w:type="paragraph" w:customStyle="1" w:styleId="NO">
    <w:name w:val="NO"/>
    <w:basedOn w:val="Normal"/>
    <w:rsid w:val="00A37CEF"/>
    <w:pPr>
      <w:keepLines/>
      <w:ind w:left="1135" w:hanging="851"/>
    </w:pPr>
  </w:style>
  <w:style w:type="paragraph" w:styleId="TOC9">
    <w:name w:val="toc 9"/>
    <w:basedOn w:val="TOC8"/>
    <w:semiHidden/>
    <w:rsid w:val="00A37CEF"/>
    <w:pPr>
      <w:ind w:left="1418" w:hanging="1418"/>
    </w:pPr>
  </w:style>
  <w:style w:type="paragraph" w:customStyle="1" w:styleId="EX">
    <w:name w:val="EX"/>
    <w:basedOn w:val="Normal"/>
    <w:rsid w:val="00A37CEF"/>
    <w:pPr>
      <w:keepLines/>
      <w:ind w:left="1702" w:hanging="1418"/>
    </w:pPr>
  </w:style>
  <w:style w:type="paragraph" w:customStyle="1" w:styleId="FP">
    <w:name w:val="FP"/>
    <w:basedOn w:val="Normal"/>
    <w:rsid w:val="00A37CEF"/>
    <w:pPr>
      <w:spacing w:after="0"/>
    </w:pPr>
  </w:style>
  <w:style w:type="paragraph" w:customStyle="1" w:styleId="LD">
    <w:name w:val="LD"/>
    <w:rsid w:val="00A37CEF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kern w:val="0"/>
      <w:sz w:val="20"/>
      <w:szCs w:val="20"/>
      <w14:ligatures w14:val="none"/>
    </w:rPr>
  </w:style>
  <w:style w:type="paragraph" w:customStyle="1" w:styleId="NW">
    <w:name w:val="NW"/>
    <w:basedOn w:val="NO"/>
    <w:rsid w:val="00A37CEF"/>
    <w:pPr>
      <w:spacing w:after="0"/>
    </w:pPr>
  </w:style>
  <w:style w:type="paragraph" w:customStyle="1" w:styleId="EW">
    <w:name w:val="EW"/>
    <w:basedOn w:val="EX"/>
    <w:rsid w:val="00A37CEF"/>
    <w:pPr>
      <w:spacing w:after="0"/>
    </w:pPr>
  </w:style>
  <w:style w:type="paragraph" w:styleId="TOC6">
    <w:name w:val="toc 6"/>
    <w:basedOn w:val="TOC5"/>
    <w:next w:val="Normal"/>
    <w:semiHidden/>
    <w:rsid w:val="00A37CEF"/>
    <w:pPr>
      <w:ind w:left="1985" w:hanging="1985"/>
    </w:pPr>
  </w:style>
  <w:style w:type="paragraph" w:styleId="TOC7">
    <w:name w:val="toc 7"/>
    <w:basedOn w:val="TOC6"/>
    <w:next w:val="Normal"/>
    <w:semiHidden/>
    <w:rsid w:val="00A37CEF"/>
    <w:pPr>
      <w:ind w:left="2268" w:hanging="2268"/>
    </w:pPr>
  </w:style>
  <w:style w:type="paragraph" w:styleId="ListBullet2">
    <w:name w:val="List Bullet 2"/>
    <w:basedOn w:val="ListBullet"/>
    <w:rsid w:val="00A37CEF"/>
    <w:pPr>
      <w:ind w:left="851"/>
    </w:pPr>
  </w:style>
  <w:style w:type="paragraph" w:styleId="ListBullet3">
    <w:name w:val="List Bullet 3"/>
    <w:basedOn w:val="ListBullet2"/>
    <w:uiPriority w:val="99"/>
    <w:qFormat/>
    <w:rsid w:val="00A37CEF"/>
    <w:pPr>
      <w:ind w:left="1135"/>
    </w:pPr>
  </w:style>
  <w:style w:type="paragraph" w:styleId="ListNumber">
    <w:name w:val="List Number"/>
    <w:basedOn w:val="List"/>
    <w:rsid w:val="00A37CEF"/>
  </w:style>
  <w:style w:type="paragraph" w:customStyle="1" w:styleId="EQ">
    <w:name w:val="EQ"/>
    <w:basedOn w:val="Normal"/>
    <w:next w:val="Normal"/>
    <w:link w:val="EQChar"/>
    <w:uiPriority w:val="99"/>
    <w:qFormat/>
    <w:rsid w:val="00A37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37C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7C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7C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kern w:val="0"/>
      <w:sz w:val="16"/>
      <w:szCs w:val="20"/>
      <w14:ligatures w14:val="none"/>
    </w:rPr>
  </w:style>
  <w:style w:type="paragraph" w:customStyle="1" w:styleId="TAR">
    <w:name w:val="TAR"/>
    <w:basedOn w:val="TAL"/>
    <w:rsid w:val="00A37CEF"/>
    <w:pPr>
      <w:jc w:val="right"/>
    </w:pPr>
  </w:style>
  <w:style w:type="paragraph" w:customStyle="1" w:styleId="H6">
    <w:name w:val="H6"/>
    <w:basedOn w:val="Heading5"/>
    <w:next w:val="Normal"/>
    <w:rsid w:val="00A37C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37CEF"/>
    <w:pPr>
      <w:ind w:left="851" w:hanging="851"/>
    </w:pPr>
  </w:style>
  <w:style w:type="paragraph" w:customStyle="1" w:styleId="TAL">
    <w:name w:val="TAL"/>
    <w:basedOn w:val="Normal"/>
    <w:link w:val="TALChar"/>
    <w:rsid w:val="00A37CE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7C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40"/>
      <w:szCs w:val="20"/>
      <w14:ligatures w14:val="none"/>
    </w:rPr>
  </w:style>
  <w:style w:type="paragraph" w:customStyle="1" w:styleId="ZB">
    <w:name w:val="ZB"/>
    <w:rsid w:val="00A37C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kern w:val="0"/>
      <w:sz w:val="20"/>
      <w:szCs w:val="20"/>
      <w14:ligatures w14:val="none"/>
    </w:rPr>
  </w:style>
  <w:style w:type="paragraph" w:customStyle="1" w:styleId="ZD">
    <w:name w:val="ZD"/>
    <w:rsid w:val="00A37C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32"/>
      <w:szCs w:val="20"/>
      <w14:ligatures w14:val="none"/>
    </w:rPr>
  </w:style>
  <w:style w:type="paragraph" w:customStyle="1" w:styleId="ZU">
    <w:name w:val="ZU"/>
    <w:rsid w:val="00A37C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ZV">
    <w:name w:val="ZV"/>
    <w:basedOn w:val="ZU"/>
    <w:rsid w:val="00A37CEF"/>
    <w:pPr>
      <w:framePr w:wrap="notBeside" w:y="16161"/>
    </w:pPr>
  </w:style>
  <w:style w:type="character" w:customStyle="1" w:styleId="ZGSM">
    <w:name w:val="ZGSM"/>
    <w:rsid w:val="00A37CEF"/>
  </w:style>
  <w:style w:type="paragraph" w:styleId="List2">
    <w:name w:val="List 2"/>
    <w:basedOn w:val="List"/>
    <w:rsid w:val="00A37CEF"/>
    <w:pPr>
      <w:ind w:left="851"/>
    </w:pPr>
  </w:style>
  <w:style w:type="paragraph" w:customStyle="1" w:styleId="ZG">
    <w:name w:val="ZG"/>
    <w:rsid w:val="00A37C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styleId="List3">
    <w:name w:val="List 3"/>
    <w:basedOn w:val="List2"/>
    <w:rsid w:val="00A37CEF"/>
    <w:pPr>
      <w:ind w:left="1135"/>
    </w:pPr>
  </w:style>
  <w:style w:type="paragraph" w:styleId="List4">
    <w:name w:val="List 4"/>
    <w:basedOn w:val="List3"/>
    <w:rsid w:val="00A37CEF"/>
    <w:pPr>
      <w:ind w:left="1418"/>
    </w:pPr>
  </w:style>
  <w:style w:type="paragraph" w:styleId="List5">
    <w:name w:val="List 5"/>
    <w:basedOn w:val="List4"/>
    <w:rsid w:val="00A37CEF"/>
    <w:pPr>
      <w:ind w:left="1702"/>
    </w:pPr>
  </w:style>
  <w:style w:type="paragraph" w:customStyle="1" w:styleId="EditorsNote">
    <w:name w:val="Editor's Note"/>
    <w:basedOn w:val="NO"/>
    <w:rsid w:val="00A37CEF"/>
    <w:rPr>
      <w:color w:val="FF0000"/>
    </w:rPr>
  </w:style>
  <w:style w:type="paragraph" w:styleId="List">
    <w:name w:val="List"/>
    <w:basedOn w:val="Normal"/>
    <w:rsid w:val="00A37CEF"/>
    <w:pPr>
      <w:ind w:left="568" w:hanging="284"/>
    </w:pPr>
  </w:style>
  <w:style w:type="paragraph" w:styleId="ListBullet">
    <w:name w:val="List Bullet"/>
    <w:basedOn w:val="List"/>
    <w:rsid w:val="00A37CEF"/>
  </w:style>
  <w:style w:type="paragraph" w:styleId="ListBullet4">
    <w:name w:val="List Bullet 4"/>
    <w:basedOn w:val="ListBullet3"/>
    <w:rsid w:val="00A37CEF"/>
    <w:pPr>
      <w:ind w:left="1418"/>
    </w:pPr>
  </w:style>
  <w:style w:type="paragraph" w:styleId="ListBullet5">
    <w:name w:val="List Bullet 5"/>
    <w:basedOn w:val="ListBullet4"/>
    <w:rsid w:val="00A37CEF"/>
    <w:pPr>
      <w:ind w:left="1702"/>
    </w:pPr>
  </w:style>
  <w:style w:type="paragraph" w:customStyle="1" w:styleId="B1">
    <w:name w:val="B1"/>
    <w:basedOn w:val="List"/>
    <w:link w:val="B1Char1"/>
    <w:qFormat/>
    <w:rsid w:val="00A37CEF"/>
  </w:style>
  <w:style w:type="paragraph" w:customStyle="1" w:styleId="B2">
    <w:name w:val="B2"/>
    <w:basedOn w:val="List2"/>
    <w:link w:val="B2Char"/>
    <w:qFormat/>
    <w:rsid w:val="00A37CEF"/>
  </w:style>
  <w:style w:type="paragraph" w:customStyle="1" w:styleId="B3">
    <w:name w:val="B3"/>
    <w:basedOn w:val="List3"/>
    <w:link w:val="B3Char"/>
    <w:rsid w:val="00A37CEF"/>
  </w:style>
  <w:style w:type="paragraph" w:customStyle="1" w:styleId="B4">
    <w:name w:val="B4"/>
    <w:basedOn w:val="List4"/>
    <w:rsid w:val="00A37CEF"/>
  </w:style>
  <w:style w:type="paragraph" w:customStyle="1" w:styleId="B5">
    <w:name w:val="B5"/>
    <w:basedOn w:val="List5"/>
    <w:rsid w:val="00A37CEF"/>
  </w:style>
  <w:style w:type="paragraph" w:styleId="Footer">
    <w:name w:val="footer"/>
    <w:basedOn w:val="Header"/>
    <w:link w:val="FooterChar"/>
    <w:rsid w:val="00A37CE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37CEF"/>
    <w:rPr>
      <w:rFonts w:ascii="Arial" w:eastAsia="SimSun" w:hAnsi="Arial" w:cs="Times New Roman"/>
      <w:b/>
      <w:i/>
      <w:noProof/>
      <w:kern w:val="0"/>
      <w:sz w:val="18"/>
      <w:szCs w:val="20"/>
      <w14:ligatures w14:val="none"/>
    </w:rPr>
  </w:style>
  <w:style w:type="paragraph" w:customStyle="1" w:styleId="ZTD">
    <w:name w:val="ZTD"/>
    <w:basedOn w:val="ZB"/>
    <w:rsid w:val="00A37CEF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37CEF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A37CEF"/>
    <w:rPr>
      <w:i/>
    </w:rPr>
  </w:style>
  <w:style w:type="character" w:customStyle="1" w:styleId="BodyText3Char">
    <w:name w:val="Body Text 3 Char"/>
    <w:basedOn w:val="DefaultParagraphFont"/>
    <w:link w:val="BodyText3"/>
    <w:rsid w:val="00A37CEF"/>
    <w:rPr>
      <w:rFonts w:ascii="Times New Roman" w:eastAsia="SimSun" w:hAnsi="Times New Roman" w:cs="Times New Roman"/>
      <w:i/>
      <w:kern w:val="0"/>
      <w:sz w:val="20"/>
      <w:szCs w:val="20"/>
      <w14:ligatures w14:val="none"/>
    </w:rPr>
  </w:style>
  <w:style w:type="paragraph" w:styleId="DocumentMap">
    <w:name w:val="Document Map"/>
    <w:basedOn w:val="Normal"/>
    <w:link w:val="DocumentMapChar"/>
    <w:semiHidden/>
    <w:rsid w:val="00A37CE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7CEF"/>
    <w:rPr>
      <w:rFonts w:ascii="Tahoma" w:eastAsia="SimSun" w:hAnsi="Tahoma" w:cs="Times New Roman"/>
      <w:kern w:val="0"/>
      <w:sz w:val="20"/>
      <w:szCs w:val="20"/>
      <w:shd w:val="clear" w:color="auto" w:fill="000080"/>
      <w14:ligatures w14:val="none"/>
    </w:rPr>
  </w:style>
  <w:style w:type="paragraph" w:customStyle="1" w:styleId="Bulletedo1">
    <w:name w:val="Bulleted o 1"/>
    <w:basedOn w:val="Normal"/>
    <w:rsid w:val="00A37CEF"/>
    <w:pPr>
      <w:numPr>
        <w:numId w:val="1"/>
      </w:numPr>
    </w:pPr>
  </w:style>
  <w:style w:type="paragraph" w:customStyle="1" w:styleId="text">
    <w:name w:val="text"/>
    <w:basedOn w:val="Normal"/>
    <w:rsid w:val="00A37CEF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37CEF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37CEF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37CEF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37CEF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rsid w:val="00A37CEF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37CEF"/>
    <w:pPr>
      <w:spacing w:after="120"/>
      <w:jc w:val="both"/>
    </w:pPr>
    <w:rPr>
      <w:rFonts w:ascii="Times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A37CEF"/>
    <w:rPr>
      <w:rFonts w:ascii="Times" w:eastAsia="SimSun" w:hAnsi="Times" w:cs="Times New Roman"/>
      <w:kern w:val="0"/>
      <w:sz w:val="20"/>
      <w:szCs w:val="24"/>
      <w14:ligatures w14:val="none"/>
    </w:rPr>
  </w:style>
  <w:style w:type="paragraph" w:styleId="BodyText2">
    <w:name w:val="Body Text 2"/>
    <w:basedOn w:val="Normal"/>
    <w:link w:val="BodyText2Char"/>
    <w:rsid w:val="00A37CEF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A37CEF"/>
    <w:rPr>
      <w:rFonts w:ascii="Arial" w:eastAsia="SimSun" w:hAnsi="Arial" w:cs="Times New Roman"/>
      <w:kern w:val="0"/>
      <w:szCs w:val="20"/>
      <w14:ligatures w14:val="none"/>
    </w:rPr>
  </w:style>
  <w:style w:type="paragraph" w:customStyle="1" w:styleId="body">
    <w:name w:val="body"/>
    <w:basedOn w:val="Normal"/>
    <w:link w:val="bodyChar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39"/>
    <w:qFormat/>
    <w:rsid w:val="00A37CEF"/>
    <w:pPr>
      <w:spacing w:before="120" w:after="0" w:line="280" w:lineRule="atLeast"/>
      <w:jc w:val="both"/>
    </w:pPr>
    <w:rPr>
      <w:rFonts w:ascii="New York" w:eastAsia="SimSun" w:hAnsi="New York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37CEF"/>
  </w:style>
  <w:style w:type="character" w:styleId="CommentReference">
    <w:name w:val="annotation reference"/>
    <w:semiHidden/>
    <w:rsid w:val="00A37C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7CEF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A37CEF"/>
    <w:rPr>
      <w:rFonts w:ascii="Times New Roman" w:eastAsia="SimSun" w:hAnsi="Times New Roman" w:cs="Times New Roman"/>
      <w:kern w:val="0"/>
      <w:sz w:val="20"/>
      <w:szCs w:val="20"/>
      <w:lang w:eastAsia="x-non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37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7CEF"/>
    <w:rPr>
      <w:rFonts w:ascii="Times New Roman" w:eastAsia="SimSun" w:hAnsi="Times New Roman" w:cs="Times New Roman"/>
      <w:b/>
      <w:bCs/>
      <w:kern w:val="0"/>
      <w:sz w:val="20"/>
      <w:szCs w:val="20"/>
      <w:lang w:eastAsia="x-none"/>
      <w14:ligatures w14:val="none"/>
    </w:rPr>
  </w:style>
  <w:style w:type="paragraph" w:styleId="BalloonText">
    <w:name w:val="Balloon Text"/>
    <w:basedOn w:val="Normal"/>
    <w:link w:val="BalloonTextChar"/>
    <w:semiHidden/>
    <w:rsid w:val="00A37C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37CEF"/>
    <w:rPr>
      <w:rFonts w:ascii="Tahoma" w:eastAsia="SimSun" w:hAnsi="Tahoma" w:cs="Tahoma"/>
      <w:kern w:val="0"/>
      <w:sz w:val="16"/>
      <w:szCs w:val="16"/>
      <w14:ligatures w14:val="none"/>
    </w:rPr>
  </w:style>
  <w:style w:type="paragraph" w:customStyle="1" w:styleId="CRCoverPage">
    <w:name w:val="CR Cover Page"/>
    <w:rsid w:val="00A37CEF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1Char1">
    <w:name w:val="Heading 1 Char1"/>
    <w:link w:val="Heading1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CharChar3">
    <w:name w:val="Char Char3"/>
    <w:rsid w:val="00A37CEF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37CEF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37CEF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37CEF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37CEF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37CE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A37CEF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37CE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37CEF"/>
    <w:rPr>
      <w:rFonts w:ascii="Cambria" w:eastAsia="SimSun" w:hAnsi="Cambria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A37CEF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link w:val="LGTdocChar"/>
    <w:qFormat/>
    <w:rsid w:val="00A37CE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37CE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37CE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37CEF"/>
    <w:rPr>
      <w:color w:val="808080"/>
    </w:rPr>
  </w:style>
  <w:style w:type="character" w:customStyle="1" w:styleId="TACChar">
    <w:name w:val="TAC Char"/>
    <w:link w:val="TAC"/>
    <w:qFormat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customStyle="1" w:styleId="THChar">
    <w:name w:val="TH Char"/>
    <w:link w:val="TH"/>
    <w:qFormat/>
    <w:rsid w:val="00A37CEF"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styleId="Hyperlink">
    <w:name w:val="Hyperlink"/>
    <w:uiPriority w:val="99"/>
    <w:rsid w:val="00A37CEF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CEF"/>
    <w:rPr>
      <w:rFonts w:ascii="Calibri" w:eastAsia="Calibri" w:hAnsi="Calibri" w:cs="Times New Roman"/>
      <w:kern w:val="0"/>
      <w14:ligatures w14:val="none"/>
    </w:rPr>
  </w:style>
  <w:style w:type="paragraph" w:customStyle="1" w:styleId="References">
    <w:name w:val="References"/>
    <w:basedOn w:val="Normal"/>
    <w:qFormat/>
    <w:rsid w:val="00A37CE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A37CEF"/>
    <w:rPr>
      <w:rFonts w:ascii="New York" w:eastAsia="SimSun" w:hAnsi="New York" w:cs="Times New Roman"/>
      <w:kern w:val="0"/>
      <w:sz w:val="24"/>
      <w:szCs w:val="20"/>
      <w14:ligatures w14:val="none"/>
    </w:rPr>
  </w:style>
  <w:style w:type="character" w:customStyle="1" w:styleId="apple-converted-space">
    <w:name w:val="apple-converted-space"/>
    <w:basedOn w:val="DefaultParagraphFont"/>
    <w:rsid w:val="00A37CEF"/>
  </w:style>
  <w:style w:type="paragraph" w:customStyle="1" w:styleId="TdocHeader2">
    <w:name w:val="Tdoc_Header_2"/>
    <w:basedOn w:val="Normal"/>
    <w:rsid w:val="00A37CEF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qFormat/>
    <w:locked/>
    <w:rsid w:val="00A37CEF"/>
    <w:rPr>
      <w:lang w:val="en-GB" w:eastAsia="en-US"/>
    </w:rPr>
  </w:style>
  <w:style w:type="character" w:customStyle="1" w:styleId="TAHCar">
    <w:name w:val="TAH Car"/>
    <w:link w:val="TAH"/>
    <w:qFormat/>
    <w:locked/>
    <w:rsid w:val="00A37CEF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character" w:customStyle="1" w:styleId="B10">
    <w:name w:val="B1 (文字)"/>
    <w:qFormat/>
    <w:rsid w:val="00A37CEF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textintend3">
    <w:name w:val="text intend 3"/>
    <w:basedOn w:val="text"/>
    <w:rsid w:val="00A37CEF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MTDisplayEquation">
    <w:name w:val="MTDisplayEquation"/>
    <w:basedOn w:val="Normal"/>
    <w:next w:val="Normal"/>
    <w:link w:val="MTDisplayEquationChar"/>
    <w:rsid w:val="00A37CEF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A37CEF"/>
    <w:rPr>
      <w:rFonts w:eastAsiaTheme="minorEastAsia"/>
      <w:kern w:val="0"/>
      <w:lang w:eastAsia="zh-CN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37CE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37CEF"/>
    <w:rPr>
      <w:rFonts w:ascii="Calibri" w:hAnsi="Calibri" w:cs="Calibri"/>
      <w:kern w:val="0"/>
      <w:lang w:eastAsia="zh-CN"/>
      <w14:ligatures w14:val="none"/>
    </w:rPr>
  </w:style>
  <w:style w:type="character" w:customStyle="1" w:styleId="EQChar">
    <w:name w:val="EQ Char"/>
    <w:basedOn w:val="DefaultParagraphFont"/>
    <w:link w:val="EQ"/>
    <w:uiPriority w:val="99"/>
    <w:locked/>
    <w:rsid w:val="00A37CEF"/>
    <w:rPr>
      <w:rFonts w:ascii="Times New Roman" w:eastAsia="SimSun" w:hAnsi="Times New Roman" w:cs="Times New Roman"/>
      <w:noProof/>
      <w:kern w:val="0"/>
      <w:sz w:val="20"/>
      <w:szCs w:val="20"/>
      <w14:ligatures w14:val="none"/>
    </w:rPr>
  </w:style>
  <w:style w:type="character" w:customStyle="1" w:styleId="LGTdocChar">
    <w:name w:val="LGTdoc_본문 Char"/>
    <w:link w:val="LGTdoc"/>
    <w:qFormat/>
    <w:rsid w:val="00A37CEF"/>
    <w:rPr>
      <w:rFonts w:ascii="Times New Roman" w:eastAsia="Batang" w:hAnsi="Times New Roman" w:cs="Times New Roman"/>
      <w:szCs w:val="24"/>
      <w:lang w:eastAsia="ko-KR"/>
      <w14:ligatures w14:val="none"/>
    </w:rPr>
  </w:style>
  <w:style w:type="paragraph" w:customStyle="1" w:styleId="Style1">
    <w:name w:val="Style1"/>
    <w:basedOn w:val="Normal"/>
    <w:link w:val="Style1Char"/>
    <w:qFormat/>
    <w:rsid w:val="00A37CEF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A37CEF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TALChar">
    <w:name w:val="TAL Char"/>
    <w:link w:val="TAL"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37CEF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A37CE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1Char">
    <w:name w:val="B1 Char"/>
    <w:rsid w:val="00A37CEF"/>
    <w:rPr>
      <w:lang w:val="en-GB" w:eastAsia="en-US"/>
    </w:rPr>
  </w:style>
  <w:style w:type="table" w:styleId="GridTable4-Accent5">
    <w:name w:val="Grid Table 4 Accent 5"/>
    <w:basedOn w:val="TableNormal"/>
    <w:uiPriority w:val="49"/>
    <w:rsid w:val="00A37CEF"/>
    <w:pPr>
      <w:spacing w:after="0" w:line="240" w:lineRule="auto"/>
    </w:pPr>
    <w:rPr>
      <w:rFonts w:ascii="CG Times (WN)" w:eastAsia="SimSun" w:hAnsi="CG Times (WN)" w:cs="Times New Roman"/>
      <w:kern w:val="0"/>
      <w:sz w:val="20"/>
      <w:szCs w:val="20"/>
      <w:lang w:eastAsia="zh-CN"/>
      <w14:ligatures w14:val="non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Guidance">
    <w:name w:val="Guidance"/>
    <w:basedOn w:val="Normal"/>
    <w:qFormat/>
    <w:rsid w:val="00A37CEF"/>
    <w:pPr>
      <w:overflowPunct/>
      <w:autoSpaceDE/>
      <w:autoSpaceDN/>
      <w:adjustRightInd/>
      <w:textAlignment w:val="auto"/>
    </w:pPr>
    <w:rPr>
      <w:rFonts w:eastAsia="DengXian"/>
      <w:i/>
      <w:color w:val="0000FF"/>
      <w:lang w:val="en-GB"/>
    </w:rPr>
  </w:style>
  <w:style w:type="character" w:customStyle="1" w:styleId="CaptionChar">
    <w:name w:val="Caption Char"/>
    <w:aliases w:val="cap Char"/>
    <w:basedOn w:val="DefaultParagraphFont"/>
    <w:link w:val="Caption"/>
    <w:qFormat/>
    <w:rsid w:val="00A37CEF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A37CEF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wacimagecontainer">
    <w:name w:val="wacimagecontainer"/>
    <w:basedOn w:val="DefaultParagraphFont"/>
    <w:rsid w:val="00A37CEF"/>
  </w:style>
  <w:style w:type="character" w:customStyle="1" w:styleId="eop">
    <w:name w:val="eop"/>
    <w:basedOn w:val="DefaultParagraphFont"/>
    <w:rsid w:val="00A37CEF"/>
  </w:style>
  <w:style w:type="character" w:customStyle="1" w:styleId="normaltextrun">
    <w:name w:val="normaltextrun"/>
    <w:basedOn w:val="DefaultParagraphFont"/>
    <w:rsid w:val="00A37CEF"/>
  </w:style>
  <w:style w:type="character" w:customStyle="1" w:styleId="scxp37309694">
    <w:name w:val="scxp37309694"/>
    <w:basedOn w:val="DefaultParagraphFont"/>
    <w:rsid w:val="00D25E76"/>
  </w:style>
  <w:style w:type="character" w:customStyle="1" w:styleId="singleunderline">
    <w:name w:val="singleunderline"/>
    <w:basedOn w:val="DefaultParagraphFont"/>
    <w:rsid w:val="00D25E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0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2050</TotalTime>
  <Pages>3</Pages>
  <Words>853</Words>
  <Characters>4863</Characters>
  <Application>Microsoft Office Word</Application>
  <DocSecurity>0</DocSecurity>
  <Lines>40</Lines>
  <Paragraphs>11</Paragraphs>
  <ScaleCrop>false</ScaleCrop>
  <Company>Qualcomm Incorporated</Company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Qualcomm (Mustafa Emara)</cp:lastModifiedBy>
  <cp:revision>332</cp:revision>
  <dcterms:created xsi:type="dcterms:W3CDTF">2024-03-19T10:25:00Z</dcterms:created>
  <dcterms:modified xsi:type="dcterms:W3CDTF">2025-02-07T16:11:00Z</dcterms:modified>
</cp:coreProperties>
</file>